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rPr>
        <w:t>重庆市农业学校对2021年学生军训用品采购项目</w:t>
      </w:r>
    </w:p>
    <w:p>
      <w:pPr>
        <w:adjustRightInd w:val="0"/>
        <w:snapToGrid w:val="0"/>
        <w:spacing w:line="360" w:lineRule="auto"/>
        <w:jc w:val="center"/>
        <w:rPr>
          <w:rFonts w:hint="eastAsia" w:ascii="黑体" w:hAnsi="黑体" w:eastAsia="黑体" w:cs="黑体"/>
          <w:sz w:val="30"/>
          <w:szCs w:val="30"/>
        </w:rPr>
      </w:pPr>
      <w:r>
        <w:rPr>
          <w:rFonts w:hint="eastAsia" w:ascii="黑体" w:hAnsi="黑体" w:eastAsia="黑体" w:cs="黑体"/>
          <w:sz w:val="30"/>
          <w:szCs w:val="30"/>
          <w:lang w:val="en-US" w:eastAsia="zh-CN"/>
        </w:rPr>
        <w:t>竞争性谈判采购公告</w:t>
      </w:r>
    </w:p>
    <w:p>
      <w:pPr>
        <w:adjustRightInd w:val="0"/>
        <w:snapToGrid w:val="0"/>
        <w:spacing w:line="240" w:lineRule="auto"/>
        <w:ind w:firstLine="480" w:firstLineChars="200"/>
        <w:rPr>
          <w:rFonts w:hint="eastAsia" w:ascii="黑体" w:hAnsi="黑体" w:eastAsia="黑体" w:cs="黑体"/>
          <w:bCs/>
          <w:sz w:val="24"/>
          <w:szCs w:val="22"/>
        </w:rPr>
      </w:pPr>
      <w:r>
        <w:rPr>
          <w:rFonts w:hint="eastAsia" w:ascii="黑体" w:hAnsi="黑体" w:eastAsia="黑体" w:cs="黑体"/>
          <w:bCs/>
          <w:sz w:val="24"/>
          <w:szCs w:val="22"/>
          <w:u w:val="single"/>
        </w:rPr>
        <w:t>中建山河建设管理集团有限公司</w:t>
      </w:r>
      <w:r>
        <w:rPr>
          <w:rFonts w:hint="eastAsia" w:ascii="黑体" w:hAnsi="黑体" w:eastAsia="黑体" w:cs="黑体"/>
          <w:bCs/>
          <w:sz w:val="24"/>
          <w:szCs w:val="22"/>
        </w:rPr>
        <w:t>（以下简称：采购代理机构）接受</w:t>
      </w:r>
      <w:r>
        <w:rPr>
          <w:rFonts w:hint="eastAsia" w:ascii="黑体" w:hAnsi="黑体" w:eastAsia="黑体" w:cs="黑体"/>
          <w:bCs/>
          <w:sz w:val="24"/>
          <w:szCs w:val="22"/>
          <w:u w:val="single"/>
        </w:rPr>
        <w:t>重庆市农业学校</w:t>
      </w:r>
      <w:r>
        <w:rPr>
          <w:rFonts w:hint="eastAsia" w:ascii="黑体" w:hAnsi="黑体" w:eastAsia="黑体" w:cs="黑体"/>
          <w:bCs/>
          <w:sz w:val="24"/>
          <w:szCs w:val="22"/>
        </w:rPr>
        <w:t>（以下简称：采购人）的委托对</w:t>
      </w:r>
      <w:r>
        <w:rPr>
          <w:rFonts w:hint="eastAsia" w:ascii="黑体" w:hAnsi="黑体" w:eastAsia="黑体" w:cs="黑体"/>
          <w:bCs/>
          <w:sz w:val="24"/>
          <w:szCs w:val="22"/>
          <w:u w:val="single"/>
        </w:rPr>
        <w:t>重庆市农业学校对2021年学生军训用品采购项目</w:t>
      </w:r>
      <w:r>
        <w:rPr>
          <w:rFonts w:hint="eastAsia" w:ascii="黑体" w:hAnsi="黑体" w:eastAsia="黑体" w:cs="黑体"/>
          <w:bCs/>
          <w:sz w:val="24"/>
          <w:szCs w:val="22"/>
        </w:rPr>
        <w:t>进行竞争性谈判采购。欢迎有资格的供应商前来参与谈判。</w:t>
      </w:r>
    </w:p>
    <w:p>
      <w:pPr>
        <w:numPr>
          <w:ilvl w:val="0"/>
          <w:numId w:val="1"/>
        </w:numPr>
        <w:adjustRightInd w:val="0"/>
        <w:snapToGrid w:val="0"/>
        <w:spacing w:line="240" w:lineRule="auto"/>
        <w:rPr>
          <w:rFonts w:hint="eastAsia" w:ascii="黑体" w:hAnsi="黑体" w:eastAsia="黑体" w:cs="黑体"/>
        </w:rPr>
      </w:pPr>
      <w:bookmarkStart w:id="0" w:name="_Toc313893526"/>
      <w:bookmarkStart w:id="1" w:name="_Toc529291016"/>
      <w:bookmarkStart w:id="2" w:name="_Toc317775175"/>
      <w:r>
        <w:rPr>
          <w:rFonts w:hint="eastAsia" w:ascii="黑体" w:hAnsi="黑体" w:eastAsia="黑体" w:cs="黑体"/>
          <w:b/>
          <w:bCs/>
          <w:sz w:val="24"/>
          <w:szCs w:val="22"/>
        </w:rPr>
        <w:t>竞争性谈判内容</w:t>
      </w:r>
      <w:bookmarkEnd w:id="0"/>
      <w:bookmarkEnd w:id="1"/>
      <w:bookmarkEnd w:id="2"/>
      <w:r>
        <w:rPr>
          <w:rFonts w:hint="eastAsia" w:ascii="黑体" w:hAnsi="黑体" w:eastAsia="黑体" w:cs="黑体"/>
          <w:b/>
          <w:bCs/>
          <w:sz w:val="24"/>
          <w:szCs w:val="22"/>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2817"/>
        <w:gridCol w:w="1728"/>
        <w:gridCol w:w="1583"/>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70"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b/>
                <w:bCs/>
                <w:kern w:val="0"/>
                <w:szCs w:val="21"/>
              </w:rPr>
            </w:pPr>
            <w:bookmarkStart w:id="3" w:name="_Hlk530045125"/>
            <w:r>
              <w:rPr>
                <w:rFonts w:hint="eastAsia" w:ascii="黑体" w:hAnsi="黑体" w:eastAsia="黑体" w:cs="黑体"/>
                <w:b/>
                <w:bCs/>
                <w:kern w:val="0"/>
                <w:szCs w:val="21"/>
              </w:rPr>
              <w:t>分包号</w:t>
            </w:r>
          </w:p>
        </w:tc>
        <w:tc>
          <w:tcPr>
            <w:tcW w:w="2817"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b/>
                <w:bCs/>
                <w:kern w:val="0"/>
                <w:szCs w:val="21"/>
              </w:rPr>
            </w:pPr>
            <w:r>
              <w:rPr>
                <w:rFonts w:hint="eastAsia" w:ascii="黑体" w:hAnsi="黑体" w:eastAsia="黑体" w:cs="黑体"/>
                <w:b/>
                <w:bCs/>
                <w:kern w:val="0"/>
                <w:szCs w:val="21"/>
              </w:rPr>
              <w:t>分包名称</w:t>
            </w:r>
          </w:p>
        </w:tc>
        <w:tc>
          <w:tcPr>
            <w:tcW w:w="172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b/>
                <w:bCs/>
                <w:kern w:val="0"/>
                <w:szCs w:val="21"/>
              </w:rPr>
            </w:pPr>
            <w:r>
              <w:rPr>
                <w:rFonts w:hint="eastAsia" w:ascii="黑体" w:hAnsi="黑体" w:eastAsia="黑体" w:cs="黑体"/>
                <w:b/>
                <w:bCs/>
                <w:kern w:val="0"/>
                <w:szCs w:val="21"/>
              </w:rPr>
              <w:t>采购最高限价</w:t>
            </w:r>
          </w:p>
          <w:p>
            <w:pPr>
              <w:spacing w:line="240" w:lineRule="auto"/>
              <w:jc w:val="center"/>
              <w:rPr>
                <w:rFonts w:hint="eastAsia" w:ascii="黑体" w:hAnsi="黑体" w:eastAsia="黑体" w:cs="黑体"/>
                <w:b/>
                <w:bCs/>
                <w:kern w:val="0"/>
                <w:szCs w:val="21"/>
              </w:rPr>
            </w:pPr>
            <w:r>
              <w:rPr>
                <w:rFonts w:hint="eastAsia" w:ascii="黑体" w:hAnsi="黑体" w:eastAsia="黑体" w:cs="黑体"/>
                <w:b/>
                <w:bCs/>
                <w:kern w:val="0"/>
                <w:szCs w:val="21"/>
              </w:rPr>
              <w:t>（元）</w:t>
            </w:r>
          </w:p>
        </w:tc>
        <w:tc>
          <w:tcPr>
            <w:tcW w:w="1583"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b/>
                <w:bCs/>
                <w:kern w:val="0"/>
                <w:szCs w:val="21"/>
              </w:rPr>
            </w:pPr>
            <w:r>
              <w:rPr>
                <w:rFonts w:hint="eastAsia" w:ascii="黑体" w:hAnsi="黑体" w:eastAsia="黑体" w:cs="黑体"/>
                <w:b/>
                <w:bCs/>
                <w:kern w:val="0"/>
                <w:szCs w:val="21"/>
              </w:rPr>
              <w:t>谈判保证金</w:t>
            </w:r>
          </w:p>
          <w:p>
            <w:pPr>
              <w:spacing w:line="240" w:lineRule="auto"/>
              <w:jc w:val="center"/>
              <w:rPr>
                <w:rFonts w:hint="eastAsia" w:ascii="黑体" w:hAnsi="黑体" w:eastAsia="黑体" w:cs="黑体"/>
                <w:b/>
                <w:bCs/>
                <w:kern w:val="0"/>
                <w:szCs w:val="21"/>
              </w:rPr>
            </w:pPr>
            <w:r>
              <w:rPr>
                <w:rFonts w:hint="eastAsia" w:ascii="黑体" w:hAnsi="黑体" w:eastAsia="黑体" w:cs="黑体"/>
                <w:b/>
                <w:bCs/>
                <w:kern w:val="0"/>
                <w:szCs w:val="21"/>
              </w:rPr>
              <w:t>（元）</w:t>
            </w:r>
          </w:p>
        </w:tc>
        <w:tc>
          <w:tcPr>
            <w:tcW w:w="1439"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黑体" w:hAnsi="黑体" w:eastAsia="黑体" w:cs="黑体"/>
                <w:szCs w:val="21"/>
              </w:rPr>
            </w:pPr>
            <w:r>
              <w:rPr>
                <w:rFonts w:hint="eastAsia" w:ascii="黑体" w:hAnsi="黑体" w:eastAsia="黑体" w:cs="黑体"/>
                <w:b/>
                <w:bCs/>
                <w:kern w:val="0"/>
                <w:szCs w:val="21"/>
              </w:rPr>
              <w:t>成交数量</w:t>
            </w:r>
          </w:p>
          <w:p>
            <w:pPr>
              <w:spacing w:line="240" w:lineRule="auto"/>
              <w:jc w:val="center"/>
              <w:rPr>
                <w:rFonts w:hint="eastAsia" w:ascii="黑体" w:hAnsi="黑体" w:eastAsia="黑体" w:cs="黑体"/>
                <w:b/>
                <w:bCs/>
                <w:kern w:val="0"/>
                <w:szCs w:val="21"/>
              </w:rPr>
            </w:pPr>
            <w:r>
              <w:rPr>
                <w:rFonts w:hint="eastAsia" w:ascii="黑体" w:hAnsi="黑体" w:eastAsia="黑体" w:cs="黑体"/>
                <w:b/>
                <w:bCs/>
                <w:kern w:val="0"/>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70"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kern w:val="0"/>
                <w:sz w:val="24"/>
                <w:szCs w:val="24"/>
              </w:rPr>
            </w:pPr>
            <w:bookmarkStart w:id="4" w:name="_Hlk344477914"/>
            <w:r>
              <w:rPr>
                <w:rFonts w:hint="eastAsia" w:ascii="黑体" w:hAnsi="黑体" w:eastAsia="黑体" w:cs="黑体"/>
                <w:kern w:val="0"/>
                <w:sz w:val="24"/>
                <w:szCs w:val="24"/>
              </w:rPr>
              <w:t>1</w:t>
            </w:r>
          </w:p>
        </w:tc>
        <w:tc>
          <w:tcPr>
            <w:tcW w:w="2817"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kern w:val="0"/>
                <w:sz w:val="24"/>
                <w:szCs w:val="24"/>
              </w:rPr>
            </w:pPr>
            <w:r>
              <w:rPr>
                <w:rFonts w:hint="eastAsia" w:ascii="黑体" w:hAnsi="黑体" w:eastAsia="黑体" w:cs="黑体"/>
                <w:sz w:val="24"/>
                <w:szCs w:val="24"/>
              </w:rPr>
              <w:t>重庆市农业学校2021年学生军训用品采购</w:t>
            </w:r>
          </w:p>
        </w:tc>
        <w:tc>
          <w:tcPr>
            <w:tcW w:w="1728"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177000</w:t>
            </w:r>
          </w:p>
        </w:tc>
        <w:tc>
          <w:tcPr>
            <w:tcW w:w="1583"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3000</w:t>
            </w:r>
          </w:p>
        </w:tc>
        <w:tc>
          <w:tcPr>
            <w:tcW w:w="1439" w:type="dxa"/>
            <w:tcBorders>
              <w:top w:val="single" w:color="auto" w:sz="4" w:space="0"/>
              <w:left w:val="single" w:color="auto" w:sz="4" w:space="0"/>
              <w:right w:val="single" w:color="auto" w:sz="4" w:space="0"/>
            </w:tcBorders>
            <w:noWrap w:val="0"/>
            <w:vAlign w:val="center"/>
          </w:tcPr>
          <w:p>
            <w:pPr>
              <w:widowControl/>
              <w:spacing w:line="240" w:lineRule="auto"/>
              <w:jc w:val="center"/>
              <w:rPr>
                <w:rFonts w:hint="eastAsia" w:ascii="黑体" w:hAnsi="黑体" w:eastAsia="黑体" w:cs="黑体"/>
                <w:kern w:val="0"/>
                <w:sz w:val="24"/>
                <w:szCs w:val="24"/>
              </w:rPr>
            </w:pPr>
            <w:r>
              <w:rPr>
                <w:rFonts w:hint="eastAsia" w:ascii="黑体" w:hAnsi="黑体" w:eastAsia="黑体" w:cs="黑体"/>
                <w:kern w:val="0"/>
                <w:sz w:val="24"/>
                <w:szCs w:val="24"/>
              </w:rPr>
              <w:t>1</w:t>
            </w:r>
          </w:p>
        </w:tc>
      </w:tr>
      <w:bookmarkEnd w:id="3"/>
      <w:bookmarkEnd w:id="4"/>
    </w:tbl>
    <w:p>
      <w:pPr>
        <w:numPr>
          <w:ilvl w:val="0"/>
          <w:numId w:val="2"/>
        </w:numPr>
        <w:adjustRightInd w:val="0"/>
        <w:snapToGrid w:val="0"/>
        <w:spacing w:line="240" w:lineRule="auto"/>
        <w:ind w:firstLine="482" w:firstLineChars="200"/>
        <w:rPr>
          <w:rFonts w:hint="eastAsia" w:ascii="黑体" w:hAnsi="黑体" w:eastAsia="黑体" w:cs="黑体"/>
          <w:b/>
          <w:sz w:val="24"/>
        </w:rPr>
      </w:pPr>
      <w:r>
        <w:rPr>
          <w:rFonts w:hint="eastAsia" w:ascii="黑体" w:hAnsi="黑体" w:eastAsia="黑体" w:cs="黑体"/>
          <w:b/>
          <w:sz w:val="24"/>
        </w:rPr>
        <w:t>资金性质</w:t>
      </w:r>
    </w:p>
    <w:p>
      <w:pPr>
        <w:adjustRightInd w:val="0"/>
        <w:snapToGrid w:val="0"/>
        <w:spacing w:line="240" w:lineRule="auto"/>
        <w:ind w:firstLine="720" w:firstLineChars="300"/>
        <w:rPr>
          <w:rFonts w:hint="eastAsia" w:ascii="黑体" w:hAnsi="黑体" w:eastAsia="黑体" w:cs="黑体"/>
          <w:bCs/>
          <w:sz w:val="24"/>
          <w:szCs w:val="22"/>
        </w:rPr>
      </w:pPr>
      <w:r>
        <w:rPr>
          <w:rFonts w:hint="eastAsia" w:ascii="黑体" w:hAnsi="黑体" w:eastAsia="黑体" w:cs="黑体"/>
          <w:bCs/>
          <w:sz w:val="24"/>
          <w:szCs w:val="22"/>
        </w:rPr>
        <w:t xml:space="preserve">单位自筹  </w:t>
      </w:r>
    </w:p>
    <w:p>
      <w:pPr>
        <w:adjustRightInd w:val="0"/>
        <w:snapToGrid w:val="0"/>
        <w:spacing w:line="240" w:lineRule="auto"/>
        <w:ind w:firstLine="463" w:firstLineChars="192"/>
        <w:rPr>
          <w:rFonts w:hint="eastAsia" w:ascii="黑体" w:hAnsi="黑体" w:eastAsia="黑体" w:cs="黑体"/>
          <w:b/>
          <w:sz w:val="24"/>
        </w:rPr>
      </w:pPr>
      <w:r>
        <w:rPr>
          <w:rFonts w:hint="eastAsia" w:ascii="黑体" w:hAnsi="黑体" w:eastAsia="黑体" w:cs="黑体"/>
          <w:b/>
          <w:sz w:val="24"/>
        </w:rPr>
        <w:t>三、供应商资质要求</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合格供应商应首先符合政府采购法第二十二条规定的基本条件，同时符合根据该项目特点设置的特定资格条件。</w:t>
      </w:r>
    </w:p>
    <w:p>
      <w:pPr>
        <w:tabs>
          <w:tab w:val="left" w:pos="720"/>
        </w:tabs>
        <w:adjustRightInd w:val="0"/>
        <w:snapToGrid w:val="0"/>
        <w:spacing w:line="240" w:lineRule="auto"/>
        <w:ind w:firstLine="472" w:firstLineChars="196"/>
        <w:rPr>
          <w:rFonts w:hint="eastAsia" w:ascii="黑体" w:hAnsi="黑体" w:eastAsia="黑体" w:cs="黑体"/>
          <w:b/>
          <w:sz w:val="24"/>
        </w:rPr>
      </w:pPr>
      <w:r>
        <w:rPr>
          <w:rFonts w:hint="eastAsia" w:ascii="黑体" w:hAnsi="黑体" w:eastAsia="黑体" w:cs="黑体"/>
          <w:b/>
          <w:sz w:val="24"/>
        </w:rPr>
        <w:t>（一）基本资格条件</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1、具有独立承担民事责任的能力；</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2、具有良好的商业信誉和健全的财务会计制度；</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3、具有履行合同所必需的设备和专业技术能力；</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4、有依法缴纳税收和社会保障资金的良好记录；</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5、参加政府采购活动前三年内，在经营活动中没有重大违法记录；</w:t>
      </w:r>
    </w:p>
    <w:p>
      <w:pPr>
        <w:tabs>
          <w:tab w:val="left" w:pos="720"/>
        </w:tabs>
        <w:adjustRightInd w:val="0"/>
        <w:snapToGrid w:val="0"/>
        <w:spacing w:line="240" w:lineRule="auto"/>
        <w:ind w:firstLine="470" w:firstLineChars="196"/>
        <w:rPr>
          <w:rFonts w:hint="eastAsia" w:ascii="黑体" w:hAnsi="黑体" w:eastAsia="黑体" w:cs="黑体"/>
          <w:bCs/>
          <w:sz w:val="24"/>
          <w:szCs w:val="22"/>
        </w:rPr>
      </w:pPr>
      <w:r>
        <w:rPr>
          <w:rFonts w:hint="eastAsia" w:ascii="黑体" w:hAnsi="黑体" w:eastAsia="黑体" w:cs="黑体"/>
          <w:bCs/>
          <w:sz w:val="24"/>
        </w:rPr>
        <w:t>6、法律、行政法规规定的其他条件</w:t>
      </w:r>
      <w:r>
        <w:rPr>
          <w:rFonts w:hint="eastAsia" w:ascii="黑体" w:hAnsi="黑体" w:eastAsia="黑体" w:cs="黑体"/>
          <w:bCs/>
          <w:sz w:val="24"/>
          <w:szCs w:val="22"/>
        </w:rPr>
        <w:t>。</w:t>
      </w:r>
    </w:p>
    <w:p>
      <w:pPr>
        <w:tabs>
          <w:tab w:val="left" w:pos="720"/>
        </w:tabs>
        <w:adjustRightInd w:val="0"/>
        <w:snapToGrid w:val="0"/>
        <w:spacing w:line="240" w:lineRule="auto"/>
        <w:ind w:firstLine="472" w:firstLineChars="196"/>
        <w:rPr>
          <w:rFonts w:hint="eastAsia" w:ascii="黑体" w:hAnsi="黑体" w:eastAsia="黑体" w:cs="黑体"/>
          <w:b/>
          <w:sz w:val="24"/>
          <w:szCs w:val="22"/>
        </w:rPr>
      </w:pPr>
      <w:r>
        <w:rPr>
          <w:rFonts w:hint="eastAsia" w:ascii="黑体" w:hAnsi="黑体" w:eastAsia="黑体" w:cs="黑体"/>
          <w:b/>
          <w:sz w:val="24"/>
          <w:szCs w:val="22"/>
        </w:rPr>
        <w:t>（二）特定资格条件</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投标供应商须具有重庆市教育后勤协会颁发的《重庆市学校后勤物资供货企业</w:t>
      </w:r>
      <w:r>
        <w:rPr>
          <w:rFonts w:hint="eastAsia" w:ascii="黑体" w:hAnsi="黑体" w:eastAsia="黑体" w:cs="黑体"/>
          <w:bCs/>
          <w:sz w:val="24"/>
          <w:lang w:val="en-US" w:eastAsia="zh-CN"/>
        </w:rPr>
        <w:t>会员</w:t>
      </w:r>
      <w:bookmarkStart w:id="19" w:name="_GoBack"/>
      <w:bookmarkEnd w:id="19"/>
      <w:r>
        <w:rPr>
          <w:rFonts w:hint="eastAsia" w:ascii="黑体" w:hAnsi="黑体" w:eastAsia="黑体" w:cs="黑体"/>
          <w:bCs/>
          <w:sz w:val="24"/>
        </w:rPr>
        <w:t>证》（提供复印件，原件备查）。</w:t>
      </w:r>
    </w:p>
    <w:p>
      <w:pPr>
        <w:pStyle w:val="3"/>
        <w:adjustRightInd w:val="0"/>
        <w:snapToGrid w:val="0"/>
        <w:spacing w:line="240" w:lineRule="auto"/>
        <w:ind w:firstLine="482" w:firstLineChars="200"/>
        <w:jc w:val="left"/>
        <w:rPr>
          <w:rFonts w:hint="eastAsia" w:ascii="黑体" w:hAnsi="黑体" w:eastAsia="黑体" w:cs="黑体"/>
        </w:rPr>
      </w:pPr>
      <w:r>
        <w:rPr>
          <w:rFonts w:hint="eastAsia" w:ascii="黑体" w:hAnsi="黑体" w:eastAsia="黑体" w:cs="黑体"/>
        </w:rPr>
        <w:t>四、谈判有关说明</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（一）</w:t>
      </w:r>
      <w:bookmarkStart w:id="5" w:name="字"/>
      <w:bookmarkStart w:id="6" w:name="_Toc373860294"/>
      <w:r>
        <w:rPr>
          <w:rFonts w:hint="eastAsia" w:ascii="黑体" w:hAnsi="黑体" w:eastAsia="黑体" w:cs="黑体"/>
          <w:bCs/>
          <w:sz w:val="24"/>
        </w:rPr>
        <w:t>根据《重庆市财政局关于印发〈重庆市政府采购供应商注册及诚信管理暂行办法〉的通知》（渝财采购</w:t>
      </w:r>
      <w:bookmarkEnd w:id="5"/>
      <w:r>
        <w:rPr>
          <w:rFonts w:hint="eastAsia" w:ascii="黑体" w:hAnsi="黑体" w:eastAsia="黑体" w:cs="黑体"/>
          <w:bCs/>
          <w:sz w:val="24"/>
        </w:rPr>
        <w:t>〔</w:t>
      </w:r>
      <w:bookmarkStart w:id="7" w:name="年"/>
      <w:r>
        <w:rPr>
          <w:rFonts w:hint="eastAsia" w:ascii="黑体" w:hAnsi="黑体" w:eastAsia="黑体" w:cs="黑体"/>
          <w:bCs/>
          <w:sz w:val="24"/>
        </w:rPr>
        <w:t>2015</w:t>
      </w:r>
      <w:bookmarkEnd w:id="7"/>
      <w:r>
        <w:rPr>
          <w:rFonts w:hint="eastAsia" w:ascii="黑体" w:hAnsi="黑体" w:eastAsia="黑体" w:cs="黑体"/>
          <w:bCs/>
          <w:sz w:val="24"/>
        </w:rPr>
        <w:t>〕</w:t>
      </w:r>
      <w:bookmarkStart w:id="8" w:name="号"/>
      <w:r>
        <w:rPr>
          <w:rFonts w:hint="eastAsia" w:ascii="黑体" w:hAnsi="黑体" w:eastAsia="黑体" w:cs="黑体"/>
          <w:bCs/>
          <w:sz w:val="24"/>
        </w:rPr>
        <w:t>45</w:t>
      </w:r>
      <w:bookmarkEnd w:id="8"/>
      <w:r>
        <w:rPr>
          <w:rFonts w:hint="eastAsia" w:ascii="黑体" w:hAnsi="黑体" w:eastAsia="黑体" w:cs="黑体"/>
          <w:bCs/>
          <w:sz w:val="24"/>
        </w:rPr>
        <w:t>号）规定，供应商应按要求进行注册，通过重庆市政府采购网（</w:t>
      </w:r>
      <w:r>
        <w:rPr>
          <w:rFonts w:hint="eastAsia" w:ascii="黑体" w:hAnsi="黑体" w:eastAsia="黑体" w:cs="黑体"/>
          <w:bCs/>
          <w:sz w:val="24"/>
        </w:rPr>
        <w:fldChar w:fldCharType="begin"/>
      </w:r>
      <w:r>
        <w:rPr>
          <w:rFonts w:hint="eastAsia" w:ascii="黑体" w:hAnsi="黑体" w:eastAsia="黑体" w:cs="黑体"/>
          <w:bCs/>
          <w:sz w:val="24"/>
        </w:rPr>
        <w:instrText xml:space="preserve"> HYPERLINK "http://www.cqgp.gov.cn" </w:instrText>
      </w:r>
      <w:r>
        <w:rPr>
          <w:rFonts w:hint="eastAsia" w:ascii="黑体" w:hAnsi="黑体" w:eastAsia="黑体" w:cs="黑体"/>
          <w:bCs/>
          <w:sz w:val="24"/>
        </w:rPr>
        <w:fldChar w:fldCharType="separate"/>
      </w:r>
      <w:r>
        <w:rPr>
          <w:rFonts w:hint="eastAsia" w:ascii="黑体" w:hAnsi="黑体" w:eastAsia="黑体" w:cs="黑体"/>
          <w:bCs/>
          <w:sz w:val="24"/>
        </w:rPr>
        <w:t>www.cqgp.gov.cn</w:t>
      </w:r>
      <w:r>
        <w:rPr>
          <w:rFonts w:hint="eastAsia" w:ascii="黑体" w:hAnsi="黑体" w:eastAsia="黑体" w:cs="黑体"/>
          <w:bCs/>
          <w:sz w:val="24"/>
        </w:rPr>
        <w:fldChar w:fldCharType="end"/>
      </w:r>
      <w:r>
        <w:rPr>
          <w:rFonts w:hint="eastAsia" w:ascii="黑体" w:hAnsi="黑体" w:eastAsia="黑体" w:cs="黑体"/>
          <w:bCs/>
          <w:sz w:val="24"/>
        </w:rPr>
        <w:t>），登记加入“重庆市政府采购供应商库”。咨询电话023-63782227。</w:t>
      </w:r>
    </w:p>
    <w:p>
      <w:pPr>
        <w:tabs>
          <w:tab w:val="left" w:pos="720"/>
        </w:tabs>
        <w:adjustRightInd w:val="0"/>
        <w:snapToGrid w:val="0"/>
        <w:spacing w:line="240" w:lineRule="auto"/>
        <w:ind w:firstLine="470" w:firstLineChars="196"/>
        <w:rPr>
          <w:rFonts w:hint="eastAsia" w:ascii="黑体" w:hAnsi="黑体" w:eastAsia="黑体" w:cs="黑体"/>
          <w:bCs/>
          <w:sz w:val="24"/>
        </w:rPr>
      </w:pPr>
      <w:bookmarkStart w:id="9" w:name="_Toc24912324"/>
      <w:r>
        <w:rPr>
          <w:rFonts w:hint="eastAsia" w:ascii="黑体" w:hAnsi="黑体" w:eastAsia="黑体" w:cs="黑体"/>
          <w:bCs/>
          <w:sz w:val="24"/>
        </w:rPr>
        <w:t>（二）本项目的谈判公告在重庆市农业学校官网上进行发布。</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获取文件地点：采购代理机构处；方式或事项：</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凡有意参加的供应商，请到采购代理机构处领取本项目谈判文件以及补遗等开标前公布的所有项目资料，无论供应商领取与否，均视为已知晓所有招标内容。</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竞争性谈判文件发售</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1.报名及谈判文件发售期：2021年</w:t>
      </w:r>
      <w:r>
        <w:rPr>
          <w:rFonts w:hint="eastAsia" w:ascii="黑体" w:hAnsi="黑体" w:eastAsia="黑体" w:cs="黑体"/>
          <w:bCs/>
          <w:sz w:val="24"/>
          <w:lang w:val="en-US" w:eastAsia="zh-CN"/>
        </w:rPr>
        <w:t>7</w:t>
      </w:r>
      <w:r>
        <w:rPr>
          <w:rFonts w:hint="eastAsia" w:ascii="黑体" w:hAnsi="黑体" w:eastAsia="黑体" w:cs="黑体"/>
          <w:bCs/>
          <w:sz w:val="24"/>
        </w:rPr>
        <w:t>月</w:t>
      </w:r>
      <w:r>
        <w:rPr>
          <w:rFonts w:hint="eastAsia" w:ascii="黑体" w:hAnsi="黑体" w:eastAsia="黑体" w:cs="黑体"/>
          <w:bCs/>
          <w:sz w:val="24"/>
          <w:lang w:val="en-US" w:eastAsia="zh-CN"/>
        </w:rPr>
        <w:t>23</w:t>
      </w:r>
      <w:r>
        <w:rPr>
          <w:rFonts w:hint="eastAsia" w:ascii="黑体" w:hAnsi="黑体" w:eastAsia="黑体" w:cs="黑体"/>
          <w:bCs/>
          <w:sz w:val="24"/>
        </w:rPr>
        <w:t>日-2021年</w:t>
      </w:r>
      <w:r>
        <w:rPr>
          <w:rFonts w:hint="eastAsia" w:ascii="黑体" w:hAnsi="黑体" w:eastAsia="黑体" w:cs="黑体"/>
          <w:bCs/>
          <w:sz w:val="24"/>
          <w:lang w:val="en-US" w:eastAsia="zh-CN"/>
        </w:rPr>
        <w:t>7</w:t>
      </w:r>
      <w:r>
        <w:rPr>
          <w:rFonts w:hint="eastAsia" w:ascii="黑体" w:hAnsi="黑体" w:eastAsia="黑体" w:cs="黑体"/>
          <w:bCs/>
          <w:sz w:val="24"/>
        </w:rPr>
        <w:t>月</w:t>
      </w:r>
      <w:r>
        <w:rPr>
          <w:rFonts w:hint="eastAsia" w:ascii="黑体" w:hAnsi="黑体" w:eastAsia="黑体" w:cs="黑体"/>
          <w:bCs/>
          <w:sz w:val="24"/>
          <w:lang w:val="en-US" w:eastAsia="zh-CN"/>
        </w:rPr>
        <w:t>28</w:t>
      </w:r>
      <w:r>
        <w:rPr>
          <w:rFonts w:hint="eastAsia" w:ascii="黑体" w:hAnsi="黑体" w:eastAsia="黑体" w:cs="黑体"/>
          <w:bCs/>
          <w:sz w:val="24"/>
        </w:rPr>
        <w:t>日17时00分（工作时间）</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2.售  价：人民币500元（售后不退）</w:t>
      </w:r>
    </w:p>
    <w:p>
      <w:pPr>
        <w:tabs>
          <w:tab w:val="left" w:pos="720"/>
        </w:tabs>
        <w:adjustRightInd w:val="0"/>
        <w:snapToGrid w:val="0"/>
        <w:spacing w:line="240" w:lineRule="auto"/>
        <w:ind w:firstLine="470" w:firstLineChars="196"/>
        <w:rPr>
          <w:rFonts w:hint="eastAsia" w:ascii="黑体" w:hAnsi="黑体" w:eastAsia="黑体" w:cs="黑体"/>
          <w:sz w:val="24"/>
          <w:szCs w:val="22"/>
        </w:rPr>
      </w:pPr>
      <w:r>
        <w:rPr>
          <w:rFonts w:hint="eastAsia" w:ascii="黑体" w:hAnsi="黑体" w:eastAsia="黑体" w:cs="黑体"/>
          <w:bCs/>
          <w:sz w:val="24"/>
        </w:rPr>
        <w:t>3.磋商文件购买方式：</w:t>
      </w:r>
      <w:r>
        <w:rPr>
          <w:rFonts w:hint="eastAsia" w:ascii="黑体" w:hAnsi="黑体" w:eastAsia="黑体" w:cs="黑体"/>
          <w:sz w:val="24"/>
          <w:szCs w:val="22"/>
        </w:rPr>
        <w:t>在竞争性谈判文件发售期内，供应商到采购代理机构处（重庆市九龙坡区谢家湾正街55号万象里28栋1910-1911）递交《谈判文件发售登记表》（加盖供应商公章），并缴纳报名费。</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4.报名方式：在报名和谈判文件发售期内购买了谈判文件的供应商，其报名才被接收。</w:t>
      </w:r>
    </w:p>
    <w:p>
      <w:pPr>
        <w:tabs>
          <w:tab w:val="left" w:pos="720"/>
        </w:tabs>
        <w:adjustRightInd w:val="0"/>
        <w:snapToGrid w:val="0"/>
        <w:spacing w:line="240" w:lineRule="auto"/>
        <w:ind w:firstLine="470" w:firstLineChars="196"/>
        <w:rPr>
          <w:rFonts w:hint="eastAsia" w:ascii="黑体" w:hAnsi="黑体" w:eastAsia="黑体" w:cs="黑体"/>
          <w:bCs/>
          <w:sz w:val="24"/>
        </w:rPr>
      </w:pPr>
      <w:r>
        <w:rPr>
          <w:rFonts w:hint="eastAsia" w:ascii="黑体" w:hAnsi="黑体" w:eastAsia="黑体" w:cs="黑体"/>
          <w:bCs/>
          <w:sz w:val="24"/>
        </w:rPr>
        <w:t>（三）供应商须满足以下条件，其响应文件才被接受：</w:t>
      </w:r>
    </w:p>
    <w:bookmarkEnd w:id="6"/>
    <w:bookmarkEnd w:id="9"/>
    <w:p>
      <w:pPr>
        <w:tabs>
          <w:tab w:val="left" w:pos="720"/>
        </w:tabs>
        <w:adjustRightInd w:val="0"/>
        <w:snapToGrid w:val="0"/>
        <w:spacing w:line="240" w:lineRule="auto"/>
        <w:ind w:firstLine="470" w:firstLineChars="196"/>
        <w:rPr>
          <w:rFonts w:hint="eastAsia" w:ascii="黑体" w:hAnsi="黑体" w:eastAsia="黑体" w:cs="黑体"/>
          <w:sz w:val="24"/>
          <w:szCs w:val="22"/>
        </w:rPr>
      </w:pPr>
      <w:r>
        <w:rPr>
          <w:rFonts w:hint="eastAsia" w:ascii="黑体" w:hAnsi="黑体" w:eastAsia="黑体" w:cs="黑体"/>
          <w:sz w:val="24"/>
          <w:szCs w:val="22"/>
        </w:rPr>
        <w:t>（1）按时递交了响应文件；</w:t>
      </w:r>
    </w:p>
    <w:p>
      <w:pPr>
        <w:tabs>
          <w:tab w:val="left" w:pos="720"/>
        </w:tabs>
        <w:adjustRightInd w:val="0"/>
        <w:snapToGrid w:val="0"/>
        <w:spacing w:line="240" w:lineRule="auto"/>
        <w:ind w:firstLine="470" w:firstLineChars="196"/>
        <w:rPr>
          <w:rFonts w:hint="eastAsia" w:ascii="黑体" w:hAnsi="黑体" w:eastAsia="黑体" w:cs="黑体"/>
          <w:sz w:val="24"/>
          <w:szCs w:val="22"/>
        </w:rPr>
      </w:pPr>
      <w:r>
        <w:rPr>
          <w:rFonts w:hint="eastAsia" w:ascii="黑体" w:hAnsi="黑体" w:eastAsia="黑体" w:cs="黑体"/>
          <w:sz w:val="24"/>
          <w:szCs w:val="22"/>
        </w:rPr>
        <w:t>（2）按时缴纳了投标保证金；</w:t>
      </w:r>
    </w:p>
    <w:p>
      <w:pPr>
        <w:tabs>
          <w:tab w:val="left" w:pos="720"/>
        </w:tabs>
        <w:adjustRightInd w:val="0"/>
        <w:snapToGrid w:val="0"/>
        <w:spacing w:line="240" w:lineRule="auto"/>
        <w:ind w:firstLine="470" w:firstLineChars="196"/>
        <w:rPr>
          <w:rFonts w:hint="eastAsia" w:ascii="黑体" w:hAnsi="黑体" w:eastAsia="黑体" w:cs="黑体"/>
          <w:sz w:val="24"/>
          <w:szCs w:val="22"/>
        </w:rPr>
      </w:pPr>
      <w:r>
        <w:rPr>
          <w:rFonts w:hint="eastAsia" w:ascii="黑体" w:hAnsi="黑体" w:eastAsia="黑体" w:cs="黑体"/>
          <w:sz w:val="24"/>
          <w:szCs w:val="22"/>
        </w:rPr>
        <w:t>（3）按上述要求进行了报名。</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bCs/>
          <w:sz w:val="24"/>
        </w:rPr>
        <w:t>（四）</w:t>
      </w:r>
      <w:r>
        <w:rPr>
          <w:rFonts w:hint="eastAsia" w:ascii="黑体" w:hAnsi="黑体" w:eastAsia="黑体" w:cs="黑体"/>
          <w:sz w:val="24"/>
        </w:rPr>
        <w:t>递交响应文件开始时间：2021年</w:t>
      </w:r>
      <w:r>
        <w:rPr>
          <w:rFonts w:hint="eastAsia" w:ascii="黑体" w:hAnsi="黑体" w:eastAsia="黑体" w:cs="黑体"/>
          <w:sz w:val="24"/>
          <w:lang w:val="en-US" w:eastAsia="zh-CN"/>
        </w:rPr>
        <w:t>7</w:t>
      </w:r>
      <w:r>
        <w:rPr>
          <w:rFonts w:hint="eastAsia" w:ascii="黑体" w:hAnsi="黑体" w:eastAsia="黑体" w:cs="黑体"/>
          <w:sz w:val="24"/>
        </w:rPr>
        <w:t>月</w:t>
      </w:r>
      <w:r>
        <w:rPr>
          <w:rFonts w:hint="eastAsia" w:ascii="黑体" w:hAnsi="黑体" w:eastAsia="黑体" w:cs="黑体"/>
          <w:sz w:val="24"/>
          <w:lang w:val="en-US" w:eastAsia="zh-CN"/>
        </w:rPr>
        <w:t>29</w:t>
      </w:r>
      <w:r>
        <w:rPr>
          <w:rFonts w:hint="eastAsia" w:ascii="黑体" w:hAnsi="黑体" w:eastAsia="黑体" w:cs="黑体"/>
          <w:sz w:val="24"/>
        </w:rPr>
        <w:t>日北京时间</w:t>
      </w:r>
      <w:r>
        <w:rPr>
          <w:rFonts w:hint="eastAsia" w:ascii="黑体" w:hAnsi="黑体" w:eastAsia="黑体" w:cs="黑体"/>
          <w:sz w:val="24"/>
          <w:lang w:val="en-US" w:eastAsia="zh-CN"/>
        </w:rPr>
        <w:t>14</w:t>
      </w:r>
      <w:r>
        <w:rPr>
          <w:rFonts w:hint="eastAsia" w:ascii="黑体" w:hAnsi="黑体" w:eastAsia="黑体" w:cs="黑体"/>
          <w:sz w:val="24"/>
        </w:rPr>
        <w:t>时30分</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bCs/>
          <w:sz w:val="24"/>
        </w:rPr>
        <w:t>（五）</w:t>
      </w:r>
      <w:r>
        <w:rPr>
          <w:rFonts w:hint="eastAsia" w:ascii="黑体" w:hAnsi="黑体" w:eastAsia="黑体" w:cs="黑体"/>
          <w:sz w:val="24"/>
        </w:rPr>
        <w:t>递交响应文件截止时间：2021年</w:t>
      </w:r>
      <w:r>
        <w:rPr>
          <w:rFonts w:hint="eastAsia" w:ascii="黑体" w:hAnsi="黑体" w:eastAsia="黑体" w:cs="黑体"/>
          <w:sz w:val="24"/>
          <w:lang w:val="en-US" w:eastAsia="zh-CN"/>
        </w:rPr>
        <w:t>7</w:t>
      </w:r>
      <w:r>
        <w:rPr>
          <w:rFonts w:hint="eastAsia" w:ascii="黑体" w:hAnsi="黑体" w:eastAsia="黑体" w:cs="黑体"/>
          <w:sz w:val="24"/>
        </w:rPr>
        <w:t>月</w:t>
      </w:r>
      <w:r>
        <w:rPr>
          <w:rFonts w:hint="eastAsia" w:ascii="黑体" w:hAnsi="黑体" w:eastAsia="黑体" w:cs="黑体"/>
          <w:sz w:val="24"/>
          <w:lang w:val="en-US" w:eastAsia="zh-CN"/>
        </w:rPr>
        <w:t>29</w:t>
      </w:r>
      <w:r>
        <w:rPr>
          <w:rFonts w:hint="eastAsia" w:ascii="黑体" w:hAnsi="黑体" w:eastAsia="黑体" w:cs="黑体"/>
          <w:sz w:val="24"/>
        </w:rPr>
        <w:t>日北京时间1</w:t>
      </w:r>
      <w:r>
        <w:rPr>
          <w:rFonts w:hint="eastAsia" w:ascii="黑体" w:hAnsi="黑体" w:eastAsia="黑体" w:cs="黑体"/>
          <w:sz w:val="24"/>
          <w:lang w:val="en-US" w:eastAsia="zh-CN"/>
        </w:rPr>
        <w:t>5</w:t>
      </w:r>
      <w:r>
        <w:rPr>
          <w:rFonts w:hint="eastAsia" w:ascii="黑体" w:hAnsi="黑体" w:eastAsia="黑体" w:cs="黑体"/>
          <w:sz w:val="24"/>
        </w:rPr>
        <w:t>时00分</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bCs/>
          <w:sz w:val="24"/>
        </w:rPr>
        <w:t>（六）</w:t>
      </w:r>
      <w:r>
        <w:rPr>
          <w:rFonts w:hint="eastAsia" w:ascii="黑体" w:hAnsi="黑体" w:eastAsia="黑体" w:cs="黑体"/>
          <w:sz w:val="24"/>
        </w:rPr>
        <w:t>开标时间：2021年</w:t>
      </w:r>
      <w:r>
        <w:rPr>
          <w:rFonts w:hint="eastAsia" w:ascii="黑体" w:hAnsi="黑体" w:eastAsia="黑体" w:cs="黑体"/>
          <w:sz w:val="24"/>
          <w:lang w:val="en-US" w:eastAsia="zh-CN"/>
        </w:rPr>
        <w:t>7</w:t>
      </w:r>
      <w:r>
        <w:rPr>
          <w:rFonts w:hint="eastAsia" w:ascii="黑体" w:hAnsi="黑体" w:eastAsia="黑体" w:cs="黑体"/>
          <w:sz w:val="24"/>
        </w:rPr>
        <w:t>月</w:t>
      </w:r>
      <w:r>
        <w:rPr>
          <w:rFonts w:hint="eastAsia" w:ascii="黑体" w:hAnsi="黑体" w:eastAsia="黑体" w:cs="黑体"/>
          <w:sz w:val="24"/>
          <w:lang w:val="en-US" w:eastAsia="zh-CN"/>
        </w:rPr>
        <w:t>29</w:t>
      </w:r>
      <w:r>
        <w:rPr>
          <w:rFonts w:hint="eastAsia" w:ascii="黑体" w:hAnsi="黑体" w:eastAsia="黑体" w:cs="黑体"/>
          <w:sz w:val="24"/>
        </w:rPr>
        <w:t>日北京时间1</w:t>
      </w:r>
      <w:r>
        <w:rPr>
          <w:rFonts w:hint="eastAsia" w:ascii="黑体" w:hAnsi="黑体" w:eastAsia="黑体" w:cs="黑体"/>
          <w:sz w:val="24"/>
          <w:lang w:val="en-US" w:eastAsia="zh-CN"/>
        </w:rPr>
        <w:t>5</w:t>
      </w:r>
      <w:r>
        <w:rPr>
          <w:rFonts w:hint="eastAsia" w:ascii="黑体" w:hAnsi="黑体" w:eastAsia="黑体" w:cs="黑体"/>
          <w:sz w:val="24"/>
        </w:rPr>
        <w:t>时00分</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bCs/>
          <w:sz w:val="24"/>
        </w:rPr>
        <w:t>（七）</w:t>
      </w:r>
      <w:r>
        <w:rPr>
          <w:rFonts w:hint="eastAsia" w:ascii="黑体" w:hAnsi="黑体" w:eastAsia="黑体" w:cs="黑体"/>
          <w:sz w:val="24"/>
        </w:rPr>
        <w:t>开标地点：重庆市农业学校小会议室</w:t>
      </w:r>
    </w:p>
    <w:p>
      <w:pPr>
        <w:tabs>
          <w:tab w:val="left" w:pos="720"/>
        </w:tabs>
        <w:adjustRightInd w:val="0"/>
        <w:snapToGrid w:val="0"/>
        <w:spacing w:line="240" w:lineRule="auto"/>
        <w:ind w:firstLine="470" w:firstLineChars="196"/>
        <w:rPr>
          <w:rFonts w:hint="eastAsia" w:ascii="黑体" w:hAnsi="黑体" w:eastAsia="黑体" w:cs="黑体"/>
          <w:sz w:val="24"/>
          <w:szCs w:val="22"/>
        </w:rPr>
      </w:pPr>
      <w:r>
        <w:rPr>
          <w:rFonts w:hint="eastAsia" w:ascii="黑体" w:hAnsi="黑体" w:eastAsia="黑体" w:cs="黑体"/>
          <w:bCs/>
          <w:sz w:val="24"/>
        </w:rPr>
        <w:t>（八）</w:t>
      </w:r>
      <w:r>
        <w:rPr>
          <w:rFonts w:hint="eastAsia" w:ascii="黑体" w:hAnsi="黑体" w:eastAsia="黑体" w:cs="黑体"/>
          <w:sz w:val="24"/>
          <w:szCs w:val="22"/>
        </w:rPr>
        <w:t>开标后送达的响应文件将被拒收。</w:t>
      </w:r>
    </w:p>
    <w:p>
      <w:pPr>
        <w:adjustRightInd w:val="0"/>
        <w:snapToGrid w:val="0"/>
        <w:spacing w:line="240" w:lineRule="auto"/>
        <w:ind w:firstLine="463" w:firstLineChars="192"/>
        <w:rPr>
          <w:rFonts w:hint="eastAsia" w:ascii="黑体" w:hAnsi="黑体" w:eastAsia="黑体" w:cs="黑体"/>
          <w:b/>
          <w:sz w:val="24"/>
        </w:rPr>
      </w:pPr>
      <w:r>
        <w:rPr>
          <w:rFonts w:hint="eastAsia" w:ascii="黑体" w:hAnsi="黑体" w:eastAsia="黑体" w:cs="黑体"/>
          <w:b/>
          <w:sz w:val="24"/>
        </w:rPr>
        <w:t>五、投标保证金</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（一）缴纳投标保证金方式</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szCs w:val="24"/>
        </w:rPr>
        <w:t>供应商须按本篇</w:t>
      </w:r>
      <w:r>
        <w:rPr>
          <w:rFonts w:hint="eastAsia" w:ascii="黑体" w:hAnsi="黑体" w:eastAsia="黑体" w:cs="黑体"/>
          <w:sz w:val="24"/>
        </w:rPr>
        <w:t>“一、项目概况”</w:t>
      </w:r>
      <w:r>
        <w:rPr>
          <w:rFonts w:hint="eastAsia" w:ascii="黑体" w:hAnsi="黑体" w:eastAsia="黑体" w:cs="黑体"/>
          <w:sz w:val="24"/>
          <w:szCs w:val="24"/>
        </w:rPr>
        <w:t>规定的投标保证金金额进行缴纳</w:t>
      </w:r>
      <w:r>
        <w:rPr>
          <w:rFonts w:hint="eastAsia" w:ascii="黑体" w:hAnsi="黑体" w:eastAsia="黑体" w:cs="黑体"/>
          <w:sz w:val="24"/>
        </w:rPr>
        <w:t>，并于开标前一小时以现金方式缴纳到重庆市农业学校财务部。</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（二）保证金退还方式</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未成交供应商的保证金，开标结束后到学校财务总直接退还。</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成交供应商的投标保证金，在成交供应商与采购人签订合同后，学校在五个工作日内按供应商提供账户或现金直接退还。</w:t>
      </w:r>
    </w:p>
    <w:p>
      <w:pPr>
        <w:pStyle w:val="3"/>
        <w:adjustRightInd w:val="0"/>
        <w:snapToGrid w:val="0"/>
        <w:spacing w:line="240" w:lineRule="auto"/>
        <w:ind w:firstLine="482" w:firstLineChars="200"/>
        <w:jc w:val="both"/>
        <w:rPr>
          <w:rFonts w:hint="eastAsia" w:ascii="黑体" w:hAnsi="黑体" w:eastAsia="黑体" w:cs="黑体"/>
        </w:rPr>
      </w:pPr>
      <w:bookmarkStart w:id="10" w:name="_Toc479668114"/>
      <w:bookmarkStart w:id="11" w:name="_Toc525047162"/>
      <w:bookmarkStart w:id="12" w:name="_Toc77667064"/>
      <w:bookmarkStart w:id="13" w:name="_Toc521053054"/>
      <w:r>
        <w:rPr>
          <w:rFonts w:hint="eastAsia" w:ascii="黑体" w:hAnsi="黑体" w:eastAsia="黑体" w:cs="黑体"/>
        </w:rPr>
        <w:t>六、采购项目需落实的政府采购政策</w:t>
      </w:r>
      <w:bookmarkEnd w:id="10"/>
      <w:bookmarkEnd w:id="11"/>
      <w:bookmarkEnd w:id="12"/>
      <w:bookmarkEnd w:id="13"/>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（一）按照《财政部 生态环境部关于印发环境标志产品政府采购品目清单的通知》（财库〔2019〕18号）和《财政部 发展改革委关于印发节能产品政府采购品目清单的通知》（财库〔2019〕19号）的规定，落实国家节能环保政策。</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（二）按照财政部、工业和信息化部关于印发《政府采购促进中小企业发展管理办法》的通知（财库〔2020〕46号），落实促进中小企业发展政策。</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（三）按照《财政部、司法部关于政府采购支持监狱企业发展有关问题的通知》（财库〔2014〕68号）的规定，落实支持监狱企业发展政策。</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（四）按照《三部门联合发布关于促进残疾人就业政府采购政策的通知》（财库〔2017〕 141号）的规定，落实支持残疾人福利性单位发展政策。</w:t>
      </w:r>
    </w:p>
    <w:p>
      <w:pPr>
        <w:pStyle w:val="3"/>
        <w:adjustRightInd w:val="0"/>
        <w:snapToGrid w:val="0"/>
        <w:spacing w:line="240" w:lineRule="auto"/>
        <w:ind w:firstLine="482" w:firstLineChars="200"/>
        <w:jc w:val="both"/>
        <w:rPr>
          <w:rFonts w:hint="eastAsia" w:ascii="黑体" w:hAnsi="黑体" w:eastAsia="黑体" w:cs="黑体"/>
        </w:rPr>
      </w:pPr>
      <w:bookmarkStart w:id="14" w:name="_Toc77667065"/>
      <w:bookmarkStart w:id="15" w:name="_Toc525047163"/>
      <w:bookmarkStart w:id="16" w:name="_Toc521053055"/>
      <w:r>
        <w:rPr>
          <w:rFonts w:hint="eastAsia" w:ascii="黑体" w:hAnsi="黑体" w:eastAsia="黑体" w:cs="黑体"/>
        </w:rPr>
        <w:t>七、其它有关规定</w:t>
      </w:r>
      <w:bookmarkEnd w:id="14"/>
      <w:bookmarkEnd w:id="15"/>
      <w:bookmarkEnd w:id="16"/>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（一）单位负责人为同一人或者存在直接控股、管理关系的不同供应商，不得参加同一合同项（包）下的政府采购活动，否则均为无效谈判。</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（二）为采购项目提供整体设计、规范编制或者项目管理、监理、检测等服务的供应商，不得再参加该采购项目的其他采购活动。</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（三）同一合同项（包）下为单一品目的货物采购中，同一品牌同一型号产品有多家供应商参加谈判，只能按照一家供应商计算。</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（四）同一合同项（包）下的货物，制造商参与谈判的，不得再委托代理商参与谈判。</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（五）本项目的澄清文件（如果有）一律在</w:t>
      </w:r>
      <w:r>
        <w:rPr>
          <w:rFonts w:hint="eastAsia" w:ascii="黑体" w:hAnsi="黑体" w:eastAsia="黑体" w:cs="黑体"/>
          <w:bCs/>
          <w:sz w:val="24"/>
        </w:rPr>
        <w:t>重庆市农业学校官网</w:t>
      </w:r>
      <w:r>
        <w:rPr>
          <w:rFonts w:hint="eastAsia" w:ascii="黑体" w:hAnsi="黑体" w:eastAsia="黑体" w:cs="黑体"/>
          <w:sz w:val="24"/>
        </w:rPr>
        <w:t>上发布，请各供应商注意下载或到采购代理机构处领取；无论供应商下载或领取与否，均视同供应商已知晓本项目澄清文件（如果有）的内容。</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（六）超过响应文件截止时间递交的响应文件，恕不接收。</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（七）谈判费用：无论谈判结果如何，供应商参与本项目谈判的所有费用均应由供应商自行承担。</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（八）本项目不接受联合体参与谈判。</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（九）本项目不接受合同分包。</w:t>
      </w:r>
    </w:p>
    <w:p>
      <w:pPr>
        <w:tabs>
          <w:tab w:val="left" w:pos="720"/>
        </w:tabs>
        <w:adjustRightInd w:val="0"/>
        <w:snapToGrid w:val="0"/>
        <w:spacing w:line="240" w:lineRule="auto"/>
        <w:ind w:firstLine="470" w:firstLineChars="196"/>
        <w:rPr>
          <w:rFonts w:hint="eastAsia" w:ascii="黑体" w:hAnsi="黑体" w:eastAsia="黑体" w:cs="黑体"/>
          <w:sz w:val="24"/>
        </w:rPr>
      </w:pPr>
      <w:r>
        <w:rPr>
          <w:rFonts w:hint="eastAsia" w:ascii="黑体" w:hAnsi="黑体" w:eastAsia="黑体" w:cs="黑体"/>
          <w:sz w:val="24"/>
        </w:rPr>
        <w:t>（十）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line="240" w:lineRule="auto"/>
        <w:rPr>
          <w:rFonts w:hint="eastAsia" w:ascii="黑体" w:hAnsi="黑体" w:eastAsia="黑体" w:cs="黑体"/>
        </w:rPr>
      </w:pPr>
      <w:r>
        <w:rPr>
          <w:rFonts w:hint="eastAsia" w:ascii="黑体" w:hAnsi="黑体" w:eastAsia="黑体" w:cs="黑体"/>
          <w:sz w:val="24"/>
        </w:rPr>
        <w:t xml:space="preserve">  </w:t>
      </w:r>
      <w:r>
        <w:rPr>
          <w:rFonts w:hint="eastAsia" w:ascii="黑体" w:hAnsi="黑体" w:eastAsia="黑体" w:cs="黑体"/>
          <w:b/>
          <w:bCs/>
          <w:sz w:val="24"/>
        </w:rPr>
        <w:t xml:space="preserve">  八、参与投标单位必须具有在规定时间内交货的能力（承诺其在2021年</w:t>
      </w:r>
      <w:r>
        <w:rPr>
          <w:rFonts w:hint="eastAsia" w:ascii="黑体" w:hAnsi="黑体" w:eastAsia="黑体" w:cs="黑体"/>
          <w:b/>
          <w:bCs/>
          <w:sz w:val="24"/>
          <w:lang w:val="en-US" w:eastAsia="zh-CN"/>
        </w:rPr>
        <w:t>8</w:t>
      </w:r>
      <w:r>
        <w:rPr>
          <w:rFonts w:hint="eastAsia" w:ascii="黑体" w:hAnsi="黑体" w:eastAsia="黑体" w:cs="黑体"/>
          <w:b/>
          <w:bCs/>
          <w:sz w:val="24"/>
        </w:rPr>
        <w:t>月</w:t>
      </w:r>
      <w:r>
        <w:rPr>
          <w:rFonts w:hint="eastAsia" w:ascii="黑体" w:hAnsi="黑体" w:eastAsia="黑体" w:cs="黑体"/>
          <w:b/>
          <w:bCs/>
          <w:sz w:val="24"/>
          <w:lang w:val="en-US" w:eastAsia="zh-CN"/>
        </w:rPr>
        <w:t>26</w:t>
      </w:r>
      <w:r>
        <w:rPr>
          <w:rFonts w:hint="eastAsia" w:ascii="黑体" w:hAnsi="黑体" w:eastAsia="黑体" w:cs="黑体"/>
          <w:b/>
          <w:bCs/>
          <w:sz w:val="24"/>
        </w:rPr>
        <w:t>日15：00前准时交货），并在其递交标书内附上盖章后的承诺书。</w:t>
      </w:r>
    </w:p>
    <w:p>
      <w:pPr>
        <w:adjustRightInd w:val="0"/>
        <w:snapToGrid w:val="0"/>
        <w:spacing w:line="240" w:lineRule="auto"/>
        <w:ind w:firstLine="463" w:firstLineChars="192"/>
        <w:rPr>
          <w:rFonts w:hint="eastAsia" w:ascii="黑体" w:hAnsi="黑体" w:eastAsia="黑体" w:cs="黑体"/>
          <w:b/>
          <w:sz w:val="24"/>
        </w:rPr>
      </w:pPr>
      <w:r>
        <w:rPr>
          <w:rFonts w:hint="eastAsia" w:ascii="黑体" w:hAnsi="黑体" w:eastAsia="黑体" w:cs="黑体"/>
          <w:b/>
          <w:sz w:val="24"/>
        </w:rPr>
        <w:t>九、联系方式</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采购人：</w:t>
      </w:r>
      <w:bookmarkStart w:id="17" w:name="_Hlk531014234"/>
      <w:r>
        <w:rPr>
          <w:rFonts w:hint="eastAsia" w:ascii="黑体" w:hAnsi="黑体" w:eastAsia="黑体" w:cs="黑体"/>
          <w:sz w:val="24"/>
        </w:rPr>
        <w:t>重庆市农业学校</w:t>
      </w:r>
    </w:p>
    <w:bookmarkEnd w:id="17"/>
    <w:p>
      <w:pPr>
        <w:tabs>
          <w:tab w:val="left" w:pos="720"/>
        </w:tabs>
        <w:adjustRightInd w:val="0"/>
        <w:snapToGrid w:val="0"/>
        <w:spacing w:line="240" w:lineRule="auto"/>
        <w:ind w:firstLine="480" w:firstLineChars="200"/>
        <w:rPr>
          <w:rFonts w:hint="eastAsia" w:ascii="黑体" w:hAnsi="黑体" w:eastAsia="黑体" w:cs="黑体"/>
          <w:sz w:val="24"/>
          <w:szCs w:val="24"/>
        </w:rPr>
      </w:pPr>
      <w:r>
        <w:rPr>
          <w:rFonts w:hint="eastAsia" w:ascii="黑体" w:hAnsi="黑体" w:eastAsia="黑体" w:cs="黑体"/>
          <w:sz w:val="24"/>
        </w:rPr>
        <w:t>联系人：徐老师  电 话：</w:t>
      </w:r>
      <w:bookmarkStart w:id="18" w:name="_Hlk531014293"/>
      <w:r>
        <w:rPr>
          <w:rFonts w:hint="eastAsia" w:ascii="黑体" w:hAnsi="黑体" w:eastAsia="黑体" w:cs="黑体"/>
          <w:sz w:val="24"/>
          <w:szCs w:val="24"/>
        </w:rPr>
        <w:t>023-</w:t>
      </w:r>
      <w:bookmarkEnd w:id="18"/>
      <w:r>
        <w:rPr>
          <w:rFonts w:hint="eastAsia" w:ascii="黑体" w:hAnsi="黑体" w:eastAsia="黑体" w:cs="黑体"/>
          <w:sz w:val="24"/>
          <w:szCs w:val="24"/>
        </w:rPr>
        <w:t>68033172</w:t>
      </w:r>
    </w:p>
    <w:p>
      <w:pPr>
        <w:tabs>
          <w:tab w:val="left" w:pos="720"/>
        </w:tabs>
        <w:adjustRightInd w:val="0"/>
        <w:snapToGrid w:val="0"/>
        <w:spacing w:line="240" w:lineRule="auto"/>
        <w:ind w:firstLine="1440" w:firstLineChars="600"/>
        <w:rPr>
          <w:rFonts w:hint="eastAsia" w:ascii="黑体" w:hAnsi="黑体" w:eastAsia="黑体" w:cs="黑体"/>
          <w:sz w:val="24"/>
          <w:szCs w:val="24"/>
        </w:rPr>
      </w:pPr>
      <w:r>
        <w:rPr>
          <w:rFonts w:hint="eastAsia" w:ascii="黑体" w:hAnsi="黑体" w:eastAsia="黑体" w:cs="黑体"/>
          <w:sz w:val="24"/>
          <w:szCs w:val="24"/>
        </w:rPr>
        <w:t>郭老师  电话：17783271853，68033150</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地  址：重庆市九龙坡区白市驿镇黄金桥2号</w:t>
      </w:r>
    </w:p>
    <w:p>
      <w:pPr>
        <w:pStyle w:val="8"/>
        <w:spacing w:line="240" w:lineRule="auto"/>
        <w:rPr>
          <w:rFonts w:hint="eastAsia" w:ascii="黑体" w:hAnsi="黑体" w:eastAsia="黑体" w:cs="黑体"/>
        </w:rPr>
      </w:pP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采购代理机构：中建山河建设管理集团有限公司</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联系人：王 杨</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电  话：023-68821626/15823934986</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传  真：023-68821626</w:t>
      </w:r>
    </w:p>
    <w:p>
      <w:pPr>
        <w:tabs>
          <w:tab w:val="left" w:pos="720"/>
        </w:tabs>
        <w:adjustRightInd w:val="0"/>
        <w:snapToGrid w:val="0"/>
        <w:spacing w:line="240" w:lineRule="auto"/>
        <w:ind w:firstLine="480" w:firstLineChars="200"/>
        <w:rPr>
          <w:rFonts w:hint="eastAsia" w:ascii="黑体" w:hAnsi="黑体" w:eastAsia="黑体" w:cs="黑体"/>
          <w:sz w:val="24"/>
        </w:rPr>
      </w:pPr>
      <w:r>
        <w:rPr>
          <w:rFonts w:hint="eastAsia" w:ascii="黑体" w:hAnsi="黑体" w:eastAsia="黑体" w:cs="黑体"/>
          <w:sz w:val="24"/>
        </w:rPr>
        <w:t>地  址：重庆市九龙坡区谢家湾正街55号万象里28栋1910-1911</w:t>
      </w:r>
    </w:p>
    <w:p>
      <w:pPr>
        <w:pStyle w:val="4"/>
        <w:rPr>
          <w:rFonts w:hint="eastAsia" w:ascii="黑体" w:hAnsi="黑体" w:eastAsia="黑体" w:cs="黑体"/>
          <w:sz w:val="24"/>
        </w:rPr>
      </w:pPr>
      <w:r>
        <w:rPr>
          <w:rFonts w:hint="eastAsia" w:ascii="黑体" w:hAnsi="黑体" w:eastAsia="黑体" w:cs="黑体"/>
          <w:sz w:val="24"/>
        </w:rPr>
        <w:br w:type="page"/>
      </w:r>
      <w:r>
        <w:rPr>
          <w:rFonts w:hint="eastAsia" w:ascii="黑体" w:hAnsi="黑体" w:eastAsia="黑体" w:cs="黑体"/>
          <w:sz w:val="24"/>
          <w:szCs w:val="24"/>
        </w:rPr>
        <w:t>附表—— 《谈判文件发售登记表》</w:t>
      </w: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谈判文件发售登记表</w:t>
      </w:r>
    </w:p>
    <w:p>
      <w:pPr>
        <w:jc w:val="left"/>
        <w:rPr>
          <w:rFonts w:hint="eastAsia" w:ascii="黑体" w:hAnsi="黑体" w:eastAsia="黑体" w:cs="黑体"/>
          <w:b/>
          <w:bCs/>
          <w:spacing w:val="40"/>
        </w:rPr>
      </w:pPr>
    </w:p>
    <w:p>
      <w:pPr>
        <w:jc w:val="left"/>
        <w:rPr>
          <w:rFonts w:hint="eastAsia" w:ascii="黑体" w:hAnsi="黑体" w:eastAsia="黑体" w:cs="黑体"/>
          <w:b/>
          <w:bCs/>
          <w:spacing w:val="40"/>
        </w:rPr>
      </w:pP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2199"/>
        <w:gridCol w:w="958"/>
        <w:gridCol w:w="361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2157" w:type="dxa"/>
            <w:noWrap w:val="0"/>
            <w:vAlign w:val="center"/>
          </w:tcPr>
          <w:p>
            <w:pPr>
              <w:jc w:val="center"/>
              <w:rPr>
                <w:rFonts w:hint="eastAsia" w:ascii="黑体" w:hAnsi="黑体" w:eastAsia="黑体" w:cs="黑体"/>
                <w:b/>
                <w:bCs/>
                <w:sz w:val="30"/>
                <w:szCs w:val="30"/>
              </w:rPr>
            </w:pPr>
            <w:r>
              <w:rPr>
                <w:rFonts w:hint="eastAsia" w:ascii="黑体" w:hAnsi="黑体" w:eastAsia="黑体" w:cs="黑体"/>
                <w:b/>
                <w:bCs/>
                <w:sz w:val="30"/>
                <w:szCs w:val="30"/>
              </w:rPr>
              <w:t>项目编号/项目名称</w:t>
            </w:r>
          </w:p>
        </w:tc>
        <w:tc>
          <w:tcPr>
            <w:tcW w:w="6773" w:type="dxa"/>
            <w:gridSpan w:val="3"/>
            <w:noWrap w:val="0"/>
            <w:vAlign w:val="center"/>
          </w:tcPr>
          <w:p>
            <w:pPr>
              <w:rPr>
                <w:rFonts w:hint="eastAsia" w:ascii="黑体" w:hAnsi="黑体" w:eastAsia="黑体" w:cs="黑体"/>
                <w:sz w:val="32"/>
              </w:rPr>
            </w:pPr>
            <w:r>
              <w:rPr>
                <w:rFonts w:hint="eastAsia" w:ascii="黑体" w:hAnsi="黑体" w:eastAsia="黑体" w:cs="黑体"/>
                <w:sz w:val="24"/>
                <w:szCs w:val="24"/>
              </w:rPr>
              <w:t>重庆市农业学校2021年学生军训用品采购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157" w:type="dxa"/>
            <w:noWrap w:val="0"/>
            <w:vAlign w:val="center"/>
          </w:tcPr>
          <w:p>
            <w:pPr>
              <w:jc w:val="center"/>
              <w:rPr>
                <w:rFonts w:hint="eastAsia" w:ascii="黑体" w:hAnsi="黑体" w:eastAsia="黑体" w:cs="黑体"/>
                <w:b/>
                <w:bCs/>
                <w:sz w:val="30"/>
                <w:szCs w:val="30"/>
              </w:rPr>
            </w:pPr>
            <w:r>
              <w:rPr>
                <w:rFonts w:hint="eastAsia" w:ascii="黑体" w:hAnsi="黑体" w:eastAsia="黑体" w:cs="黑体"/>
                <w:b/>
                <w:bCs/>
                <w:sz w:val="30"/>
                <w:szCs w:val="30"/>
              </w:rPr>
              <w:t>供应商名称</w:t>
            </w:r>
          </w:p>
        </w:tc>
        <w:tc>
          <w:tcPr>
            <w:tcW w:w="6773" w:type="dxa"/>
            <w:gridSpan w:val="3"/>
            <w:noWrap w:val="0"/>
            <w:vAlign w:val="bottom"/>
          </w:tcPr>
          <w:p>
            <w:pPr>
              <w:jc w:val="right"/>
              <w:rPr>
                <w:rFonts w:hint="eastAsia" w:ascii="黑体" w:hAnsi="黑体" w:eastAsia="黑体" w:cs="黑体"/>
                <w:sz w:val="30"/>
                <w:szCs w:val="30"/>
              </w:rPr>
            </w:pPr>
            <w:r>
              <w:rPr>
                <w:rFonts w:hint="eastAsia" w:ascii="黑体" w:hAnsi="黑体" w:eastAsia="黑体" w:cs="黑体"/>
                <w:sz w:val="30"/>
                <w:szCs w:val="30"/>
              </w:rPr>
              <w:t>（供应商公章）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pPr>
              <w:jc w:val="center"/>
              <w:rPr>
                <w:rFonts w:hint="eastAsia" w:ascii="黑体" w:hAnsi="黑体" w:eastAsia="黑体" w:cs="黑体"/>
                <w:b/>
                <w:bCs/>
                <w:sz w:val="30"/>
                <w:szCs w:val="30"/>
              </w:rPr>
            </w:pPr>
            <w:r>
              <w:rPr>
                <w:rFonts w:hint="eastAsia" w:ascii="黑体" w:hAnsi="黑体" w:eastAsia="黑体" w:cs="黑体"/>
                <w:b/>
                <w:bCs/>
                <w:sz w:val="30"/>
                <w:szCs w:val="30"/>
              </w:rPr>
              <w:t>联系人</w:t>
            </w:r>
          </w:p>
        </w:tc>
        <w:tc>
          <w:tcPr>
            <w:tcW w:w="2199" w:type="dxa"/>
            <w:noWrap w:val="0"/>
            <w:vAlign w:val="center"/>
          </w:tcPr>
          <w:p>
            <w:pPr>
              <w:jc w:val="left"/>
              <w:rPr>
                <w:rFonts w:hint="eastAsia" w:ascii="黑体" w:hAnsi="黑体" w:eastAsia="黑体" w:cs="黑体"/>
                <w:sz w:val="30"/>
                <w:szCs w:val="30"/>
              </w:rPr>
            </w:pPr>
          </w:p>
        </w:tc>
        <w:tc>
          <w:tcPr>
            <w:tcW w:w="958" w:type="dxa"/>
            <w:noWrap w:val="0"/>
            <w:vAlign w:val="center"/>
          </w:tcPr>
          <w:p>
            <w:pPr>
              <w:jc w:val="left"/>
              <w:rPr>
                <w:rFonts w:hint="eastAsia" w:ascii="黑体" w:hAnsi="黑体" w:eastAsia="黑体" w:cs="黑体"/>
                <w:sz w:val="30"/>
                <w:szCs w:val="30"/>
              </w:rPr>
            </w:pPr>
            <w:r>
              <w:rPr>
                <w:rFonts w:hint="eastAsia" w:ascii="黑体" w:hAnsi="黑体" w:eastAsia="黑体" w:cs="黑体"/>
                <w:b/>
                <w:bCs/>
                <w:sz w:val="30"/>
                <w:szCs w:val="30"/>
              </w:rPr>
              <w:t>手机</w:t>
            </w:r>
          </w:p>
        </w:tc>
        <w:tc>
          <w:tcPr>
            <w:tcW w:w="3616" w:type="dxa"/>
            <w:noWrap w:val="0"/>
            <w:vAlign w:val="center"/>
          </w:tcPr>
          <w:p>
            <w:pPr>
              <w:jc w:val="left"/>
              <w:rPr>
                <w:rFonts w:hint="eastAsia" w:ascii="黑体" w:hAnsi="黑体" w:eastAsia="黑体" w:cs="黑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57" w:type="dxa"/>
            <w:noWrap w:val="0"/>
            <w:vAlign w:val="center"/>
          </w:tcPr>
          <w:p>
            <w:pPr>
              <w:jc w:val="center"/>
              <w:rPr>
                <w:rFonts w:hint="eastAsia" w:ascii="黑体" w:hAnsi="黑体" w:eastAsia="黑体" w:cs="黑体"/>
                <w:b/>
                <w:bCs/>
                <w:sz w:val="30"/>
                <w:szCs w:val="30"/>
              </w:rPr>
            </w:pPr>
            <w:r>
              <w:rPr>
                <w:rFonts w:hint="eastAsia" w:ascii="黑体" w:hAnsi="黑体" w:eastAsia="黑体" w:cs="黑体"/>
                <w:b/>
                <w:bCs/>
                <w:sz w:val="30"/>
                <w:szCs w:val="30"/>
              </w:rPr>
              <w:t>办公电话</w:t>
            </w:r>
          </w:p>
        </w:tc>
        <w:tc>
          <w:tcPr>
            <w:tcW w:w="2199" w:type="dxa"/>
            <w:noWrap w:val="0"/>
            <w:vAlign w:val="center"/>
          </w:tcPr>
          <w:p>
            <w:pPr>
              <w:jc w:val="left"/>
              <w:rPr>
                <w:rFonts w:hint="eastAsia" w:ascii="黑体" w:hAnsi="黑体" w:eastAsia="黑体" w:cs="黑体"/>
                <w:sz w:val="30"/>
                <w:szCs w:val="30"/>
              </w:rPr>
            </w:pPr>
          </w:p>
        </w:tc>
        <w:tc>
          <w:tcPr>
            <w:tcW w:w="958" w:type="dxa"/>
            <w:noWrap w:val="0"/>
            <w:vAlign w:val="center"/>
          </w:tcPr>
          <w:p>
            <w:pPr>
              <w:jc w:val="left"/>
              <w:rPr>
                <w:rFonts w:hint="eastAsia" w:ascii="黑体" w:hAnsi="黑体" w:eastAsia="黑体" w:cs="黑体"/>
                <w:sz w:val="30"/>
                <w:szCs w:val="30"/>
              </w:rPr>
            </w:pPr>
            <w:r>
              <w:rPr>
                <w:rFonts w:hint="eastAsia" w:ascii="黑体" w:hAnsi="黑体" w:eastAsia="黑体" w:cs="黑体"/>
                <w:b/>
                <w:bCs/>
                <w:sz w:val="30"/>
                <w:szCs w:val="30"/>
              </w:rPr>
              <w:t>传真</w:t>
            </w:r>
          </w:p>
        </w:tc>
        <w:tc>
          <w:tcPr>
            <w:tcW w:w="3616" w:type="dxa"/>
            <w:noWrap w:val="0"/>
            <w:vAlign w:val="center"/>
          </w:tcPr>
          <w:p>
            <w:pPr>
              <w:jc w:val="left"/>
              <w:rPr>
                <w:rFonts w:hint="eastAsia" w:ascii="黑体" w:hAnsi="黑体" w:eastAsia="黑体" w:cs="黑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157" w:type="dxa"/>
            <w:noWrap w:val="0"/>
            <w:vAlign w:val="center"/>
          </w:tcPr>
          <w:p>
            <w:pPr>
              <w:jc w:val="center"/>
              <w:rPr>
                <w:rFonts w:hint="eastAsia" w:ascii="黑体" w:hAnsi="黑体" w:eastAsia="黑体" w:cs="黑体"/>
                <w:b/>
                <w:bCs/>
                <w:sz w:val="30"/>
                <w:szCs w:val="30"/>
              </w:rPr>
            </w:pPr>
            <w:r>
              <w:rPr>
                <w:rFonts w:hint="eastAsia" w:ascii="黑体" w:hAnsi="黑体" w:eastAsia="黑体" w:cs="黑体"/>
                <w:b/>
                <w:bCs/>
                <w:sz w:val="30"/>
                <w:szCs w:val="30"/>
              </w:rPr>
              <w:t>E-mail</w:t>
            </w:r>
          </w:p>
        </w:tc>
        <w:tc>
          <w:tcPr>
            <w:tcW w:w="6773" w:type="dxa"/>
            <w:gridSpan w:val="3"/>
            <w:noWrap w:val="0"/>
            <w:vAlign w:val="center"/>
          </w:tcPr>
          <w:p>
            <w:pPr>
              <w:jc w:val="left"/>
              <w:rPr>
                <w:rFonts w:hint="eastAsia" w:ascii="黑体" w:hAnsi="黑体" w:eastAsia="黑体" w:cs="黑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157" w:type="dxa"/>
            <w:noWrap w:val="0"/>
            <w:vAlign w:val="center"/>
          </w:tcPr>
          <w:p>
            <w:pPr>
              <w:jc w:val="center"/>
              <w:rPr>
                <w:rFonts w:hint="eastAsia" w:ascii="黑体" w:hAnsi="黑体" w:eastAsia="黑体" w:cs="黑体"/>
                <w:b/>
                <w:bCs/>
                <w:sz w:val="30"/>
                <w:szCs w:val="30"/>
              </w:rPr>
            </w:pPr>
            <w:r>
              <w:rPr>
                <w:rFonts w:hint="eastAsia" w:ascii="黑体" w:hAnsi="黑体" w:eastAsia="黑体" w:cs="黑体"/>
                <w:b/>
                <w:bCs/>
                <w:sz w:val="30"/>
                <w:szCs w:val="30"/>
              </w:rPr>
              <w:t>单位地址</w:t>
            </w:r>
          </w:p>
        </w:tc>
        <w:tc>
          <w:tcPr>
            <w:tcW w:w="6773" w:type="dxa"/>
            <w:gridSpan w:val="3"/>
            <w:noWrap w:val="0"/>
            <w:vAlign w:val="center"/>
          </w:tcPr>
          <w:p>
            <w:pPr>
              <w:jc w:val="left"/>
              <w:rPr>
                <w:rFonts w:hint="eastAsia" w:ascii="黑体" w:hAnsi="黑体" w:eastAsia="黑体" w:cs="黑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930" w:type="dxa"/>
            <w:gridSpan w:val="4"/>
            <w:noWrap w:val="0"/>
            <w:vAlign w:val="center"/>
          </w:tcPr>
          <w:p>
            <w:pPr>
              <w:jc w:val="left"/>
              <w:rPr>
                <w:rFonts w:hint="eastAsia" w:ascii="黑体" w:hAnsi="黑体" w:eastAsia="黑体" w:cs="黑体"/>
                <w:sz w:val="30"/>
                <w:szCs w:val="30"/>
              </w:rPr>
            </w:pPr>
            <w:r>
              <w:rPr>
                <w:rFonts w:hint="eastAsia" w:ascii="黑体" w:hAnsi="黑体" w:eastAsia="黑体" w:cs="黑体"/>
                <w:b/>
                <w:bCs/>
                <w:sz w:val="30"/>
                <w:szCs w:val="30"/>
              </w:rPr>
              <w:t>购本项目标书</w:t>
            </w:r>
            <w:r>
              <w:rPr>
                <w:rFonts w:hint="eastAsia" w:ascii="黑体" w:hAnsi="黑体" w:eastAsia="黑体" w:cs="黑体"/>
                <w:b/>
                <w:bCs/>
                <w:sz w:val="30"/>
                <w:szCs w:val="30"/>
                <w:u w:val="single"/>
              </w:rPr>
              <w:t xml:space="preserve"> 1  </w:t>
            </w:r>
            <w:r>
              <w:rPr>
                <w:rFonts w:hint="eastAsia" w:ascii="黑体" w:hAnsi="黑体" w:eastAsia="黑体" w:cs="黑体"/>
                <w:b/>
                <w:bCs/>
                <w:sz w:val="30"/>
                <w:szCs w:val="30"/>
              </w:rPr>
              <w:t>份，共计</w:t>
            </w:r>
            <w:r>
              <w:rPr>
                <w:rFonts w:hint="eastAsia" w:ascii="黑体" w:hAnsi="黑体" w:eastAsia="黑体" w:cs="黑体"/>
                <w:b/>
                <w:bCs/>
                <w:sz w:val="30"/>
                <w:szCs w:val="30"/>
                <w:u w:val="single"/>
              </w:rPr>
              <w:t xml:space="preserve">  500   </w:t>
            </w:r>
            <w:r>
              <w:rPr>
                <w:rFonts w:hint="eastAsia" w:ascii="黑体" w:hAnsi="黑体" w:eastAsia="黑体" w:cs="黑体"/>
                <w:b/>
                <w:bCs/>
                <w:sz w:val="30"/>
                <w:szCs w:val="30"/>
              </w:rPr>
              <w:t>元。</w:t>
            </w:r>
          </w:p>
        </w:tc>
      </w:tr>
    </w:tbl>
    <w:p>
      <w:pPr>
        <w:adjustRightInd w:val="0"/>
        <w:snapToGrid w:val="0"/>
        <w:spacing w:line="360" w:lineRule="auto"/>
        <w:ind w:firstLine="480" w:firstLineChars="200"/>
        <w:rPr>
          <w:rFonts w:hint="eastAsia" w:ascii="黑体" w:hAnsi="黑体" w:eastAsia="黑体" w:cs="黑体"/>
          <w:sz w:val="24"/>
          <w:szCs w:val="22"/>
        </w:rPr>
      </w:pPr>
      <w:r>
        <w:rPr>
          <w:rFonts w:hint="eastAsia" w:ascii="黑体" w:hAnsi="黑体" w:eastAsia="黑体" w:cs="黑体"/>
          <w:sz w:val="24"/>
          <w:szCs w:val="22"/>
        </w:rPr>
        <w:t>说明：</w:t>
      </w:r>
    </w:p>
    <w:p>
      <w:pPr>
        <w:adjustRightInd w:val="0"/>
        <w:snapToGrid w:val="0"/>
        <w:spacing w:line="360" w:lineRule="auto"/>
        <w:ind w:firstLine="480" w:firstLineChars="200"/>
        <w:rPr>
          <w:rFonts w:hint="eastAsia" w:ascii="黑体" w:hAnsi="黑体" w:eastAsia="黑体" w:cs="黑体"/>
          <w:sz w:val="24"/>
          <w:szCs w:val="22"/>
        </w:rPr>
      </w:pPr>
      <w:r>
        <w:rPr>
          <w:rFonts w:hint="eastAsia" w:ascii="黑体" w:hAnsi="黑体" w:eastAsia="黑体" w:cs="黑体"/>
          <w:sz w:val="24"/>
          <w:szCs w:val="22"/>
        </w:rPr>
        <w:t>1.标书金额：500元。发售人：</w:t>
      </w:r>
      <w:r>
        <w:rPr>
          <w:rFonts w:hint="eastAsia" w:ascii="黑体" w:hAnsi="黑体" w:eastAsia="黑体" w:cs="黑体"/>
          <w:sz w:val="24"/>
        </w:rPr>
        <w:t>中建山河建设管理集团有限公司</w:t>
      </w:r>
      <w:r>
        <w:rPr>
          <w:rFonts w:hint="eastAsia" w:ascii="黑体" w:hAnsi="黑体" w:eastAsia="黑体" w:cs="黑体"/>
          <w:sz w:val="24"/>
          <w:szCs w:val="22"/>
        </w:rPr>
        <w:t xml:space="preserve">  日期：2021年  月 日</w:t>
      </w:r>
    </w:p>
    <w:p>
      <w:pPr>
        <w:adjustRightInd w:val="0"/>
        <w:snapToGrid w:val="0"/>
        <w:spacing w:line="360" w:lineRule="auto"/>
        <w:ind w:firstLine="480" w:firstLineChars="200"/>
        <w:rPr>
          <w:rFonts w:hint="eastAsia" w:ascii="黑体" w:hAnsi="黑体" w:eastAsia="黑体" w:cs="黑体"/>
          <w:sz w:val="24"/>
          <w:szCs w:val="22"/>
        </w:rPr>
      </w:pPr>
      <w:r>
        <w:rPr>
          <w:rFonts w:hint="eastAsia" w:ascii="黑体" w:hAnsi="黑体" w:eastAsia="黑体" w:cs="黑体"/>
          <w:sz w:val="24"/>
          <w:szCs w:val="22"/>
        </w:rPr>
        <w:t>2.报名和谈判文件发售期：2021年</w:t>
      </w:r>
      <w:r>
        <w:rPr>
          <w:rFonts w:hint="eastAsia" w:ascii="黑体" w:hAnsi="黑体" w:eastAsia="黑体" w:cs="黑体"/>
          <w:sz w:val="24"/>
          <w:szCs w:val="22"/>
          <w:lang w:val="en-US" w:eastAsia="zh-CN"/>
        </w:rPr>
        <w:t>7</w:t>
      </w:r>
      <w:r>
        <w:rPr>
          <w:rFonts w:hint="eastAsia" w:ascii="黑体" w:hAnsi="黑体" w:eastAsia="黑体" w:cs="黑体"/>
          <w:sz w:val="24"/>
          <w:szCs w:val="22"/>
        </w:rPr>
        <w:t>月</w:t>
      </w:r>
      <w:r>
        <w:rPr>
          <w:rFonts w:hint="eastAsia" w:ascii="黑体" w:hAnsi="黑体" w:eastAsia="黑体" w:cs="黑体"/>
          <w:sz w:val="24"/>
          <w:szCs w:val="22"/>
          <w:lang w:val="en-US" w:eastAsia="zh-CN"/>
        </w:rPr>
        <w:t>23</w:t>
      </w:r>
      <w:r>
        <w:rPr>
          <w:rFonts w:hint="eastAsia" w:ascii="黑体" w:hAnsi="黑体" w:eastAsia="黑体" w:cs="黑体"/>
          <w:sz w:val="24"/>
          <w:szCs w:val="22"/>
        </w:rPr>
        <w:t>日-2021年</w:t>
      </w:r>
      <w:r>
        <w:rPr>
          <w:rFonts w:hint="eastAsia" w:ascii="黑体" w:hAnsi="黑体" w:eastAsia="黑体" w:cs="黑体"/>
          <w:sz w:val="24"/>
          <w:szCs w:val="22"/>
          <w:lang w:val="en-US" w:eastAsia="zh-CN"/>
        </w:rPr>
        <w:t>7</w:t>
      </w:r>
      <w:r>
        <w:rPr>
          <w:rFonts w:hint="eastAsia" w:ascii="黑体" w:hAnsi="黑体" w:eastAsia="黑体" w:cs="黑体"/>
          <w:sz w:val="24"/>
          <w:szCs w:val="22"/>
        </w:rPr>
        <w:t>月</w:t>
      </w:r>
      <w:r>
        <w:rPr>
          <w:rFonts w:hint="eastAsia" w:ascii="黑体" w:hAnsi="黑体" w:eastAsia="黑体" w:cs="黑体"/>
          <w:sz w:val="24"/>
          <w:szCs w:val="22"/>
          <w:lang w:val="en-US" w:eastAsia="zh-CN"/>
        </w:rPr>
        <w:t>28</w:t>
      </w:r>
      <w:r>
        <w:rPr>
          <w:rFonts w:hint="eastAsia" w:ascii="黑体" w:hAnsi="黑体" w:eastAsia="黑体" w:cs="黑体"/>
          <w:sz w:val="24"/>
          <w:szCs w:val="22"/>
        </w:rPr>
        <w:t>日17时00分（工作时间）</w:t>
      </w:r>
    </w:p>
    <w:p>
      <w:pPr>
        <w:adjustRightInd w:val="0"/>
        <w:snapToGrid w:val="0"/>
        <w:spacing w:line="360" w:lineRule="auto"/>
        <w:ind w:firstLine="480" w:firstLineChars="200"/>
        <w:rPr>
          <w:rFonts w:hint="eastAsia" w:ascii="黑体" w:hAnsi="黑体" w:eastAsia="黑体" w:cs="黑体"/>
          <w:sz w:val="24"/>
          <w:szCs w:val="22"/>
        </w:rPr>
      </w:pPr>
      <w:r>
        <w:rPr>
          <w:rFonts w:hint="eastAsia" w:ascii="黑体" w:hAnsi="黑体" w:eastAsia="黑体" w:cs="黑体"/>
          <w:sz w:val="24"/>
          <w:szCs w:val="22"/>
        </w:rPr>
        <w:t>3、请完整填写本表。</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1CDEF"/>
    <w:multiLevelType w:val="singleLevel"/>
    <w:tmpl w:val="3311CDEF"/>
    <w:lvl w:ilvl="0" w:tentative="0">
      <w:start w:val="2"/>
      <w:numFmt w:val="chineseCounting"/>
      <w:suff w:val="nothing"/>
      <w:lvlText w:val="%1、"/>
      <w:lvlJc w:val="left"/>
      <w:rPr>
        <w:rFonts w:hint="eastAsia"/>
      </w:rPr>
    </w:lvl>
  </w:abstractNum>
  <w:abstractNum w:abstractNumId="1">
    <w:nsid w:val="59AC541A"/>
    <w:multiLevelType w:val="multilevel"/>
    <w:tmpl w:val="59AC541A"/>
    <w:lvl w:ilvl="0" w:tentative="0">
      <w:start w:val="1"/>
      <w:numFmt w:val="none"/>
      <w:lvlText w:val="一、"/>
      <w:lvlJc w:val="left"/>
      <w:pPr>
        <w:ind w:left="1202" w:hanging="72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E0821"/>
    <w:rsid w:val="31ED1BB7"/>
    <w:rsid w:val="3AFE60D0"/>
    <w:rsid w:val="6D3E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rPr>
      <w:rFonts w:ascii="仿宋_GB2312" w:eastAsia="仿宋_GB2312"/>
      <w:sz w:val="32"/>
    </w:rPr>
  </w:style>
  <w:style w:type="paragraph" w:customStyle="1" w:styleId="5">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8">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2021-07-22T03:53:00Z</dcterms:created>
  <dc:creator>Administrator</dc:creator>
  <cp:lastModifiedBy>Administrator</cp:lastModifiedBy>
  <dcterms:modified xsi:type="dcterms:W3CDTF">2021-07-22T06:14:08Z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177DC044EF0A4ACD8A5AD25D39DC7FA4</vt:lpwstr>
  </property>
</Properties>
</file>