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autoSpaceDE w:val="0"/>
        <w:autoSpaceDN w:val="0"/>
        <w:adjustRightInd w:val="0"/>
        <w:snapToGrid w:val="0"/>
        <w:spacing w:before="0" w:after="0" w:line="240" w:lineRule="auto"/>
        <w:jc w:val="center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bookmarkStart w:id="0" w:name="_Toc3350"/>
      <w:r>
        <w:rPr>
          <w:rFonts w:hint="eastAsia" w:ascii="宋体" w:hAnsi="宋体" w:cs="宋体"/>
          <w:color w:val="auto"/>
          <w:kern w:val="0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竞争性比选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公告</w:t>
      </w:r>
      <w:bookmarkEnd w:id="0"/>
    </w:p>
    <w:p>
      <w:pPr>
        <w:autoSpaceDE w:val="0"/>
        <w:autoSpaceDN w:val="0"/>
        <w:adjustRightInd w:val="0"/>
        <w:snapToGrid w:val="0"/>
        <w:spacing w:line="240" w:lineRule="auto"/>
        <w:ind w:right="25" w:rightChars="12"/>
        <w:jc w:val="center"/>
        <w:rPr>
          <w:rFonts w:hint="eastAsia" w:ascii="宋体" w:hAnsi="宋体" w:eastAsia="宋体" w:cs="MingLiU"/>
          <w:b/>
          <w:snapToGrid w:val="0"/>
          <w:color w:val="auto"/>
          <w:w w:val="99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MingLiU"/>
          <w:b/>
          <w:snapToGrid w:val="0"/>
          <w:color w:val="auto"/>
          <w:w w:val="99"/>
          <w:kern w:val="0"/>
          <w:sz w:val="32"/>
          <w:szCs w:val="32"/>
          <w:highlight w:val="none"/>
          <w:lang w:eastAsia="zh-CN"/>
        </w:rPr>
        <w:t>重庆市农业学校图书楼、实训楼消防防火门和学生寝室2、3、5栋应急消防逃生通道维修项目竞争性比选</w:t>
      </w:r>
      <w:r>
        <w:rPr>
          <w:rFonts w:hint="eastAsia" w:ascii="宋体" w:hAnsi="宋体" w:cs="MingLiU"/>
          <w:b/>
          <w:snapToGrid w:val="0"/>
          <w:color w:val="auto"/>
          <w:w w:val="99"/>
          <w:kern w:val="0"/>
          <w:sz w:val="32"/>
          <w:szCs w:val="32"/>
          <w:highlight w:val="none"/>
          <w:lang w:val="en-US" w:eastAsia="zh-CN"/>
        </w:rPr>
        <w:t>公告</w:t>
      </w:r>
    </w:p>
    <w:p>
      <w:pPr>
        <w:pStyle w:val="3"/>
        <w:keepNext w:val="0"/>
        <w:keepLines w:val="0"/>
        <w:widowControl w:val="0"/>
        <w:autoSpaceDE w:val="0"/>
        <w:autoSpaceDN w:val="0"/>
        <w:adjustRightInd w:val="0"/>
        <w:snapToGrid w:val="0"/>
        <w:spacing w:before="0" w:after="0" w:line="240" w:lineRule="auto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bookmarkStart w:id="1" w:name="_Toc496694150"/>
      <w:bookmarkStart w:id="2" w:name="_Toc10531"/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1、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条件</w:t>
      </w:r>
      <w:bookmarkEnd w:id="1"/>
      <w:bookmarkEnd w:id="2"/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本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比选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项目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u w:val="single" w:color="auto"/>
          <w:lang w:val="zh-TW" w:eastAsia="zh-CN"/>
        </w:rPr>
        <w:t>重庆市农业学校图书楼、实训楼消防防火门和学生寝室2、3、5栋应急消防逃生通道维修项目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，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比选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人为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u w:val="single" w:color="auto"/>
          <w:lang w:val="zh-TW" w:eastAsia="zh-CN"/>
        </w:rPr>
        <w:t xml:space="preserve">重庆市农业学校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，建设资金来自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u w:val="single" w:color="auto"/>
          <w:lang w:val="en-US" w:eastAsia="zh-CN"/>
        </w:rPr>
        <w:t>业主自筹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，项目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已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具备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竞争性比选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条件，特邀请有意的潜在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竞选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人参与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竞选。</w:t>
      </w:r>
    </w:p>
    <w:p>
      <w:pPr>
        <w:pStyle w:val="3"/>
        <w:keepNext w:val="0"/>
        <w:keepLines w:val="0"/>
        <w:widowControl w:val="0"/>
        <w:autoSpaceDE w:val="0"/>
        <w:autoSpaceDN w:val="0"/>
        <w:adjustRightInd w:val="0"/>
        <w:snapToGrid w:val="0"/>
        <w:spacing w:before="0" w:after="0" w:line="240" w:lineRule="auto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bookmarkStart w:id="3" w:name="_Toc496694151"/>
      <w:bookmarkStart w:id="4" w:name="_Toc25643"/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2、项目概况与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范围</w:t>
      </w:r>
      <w:bookmarkEnd w:id="3"/>
      <w:bookmarkEnd w:id="4"/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</w:pPr>
      <w:bookmarkStart w:id="5" w:name="_Toc496694152"/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2.1 项目名称：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重庆市农业学校图书楼、实训楼消防防火门和学生寝室2、3、5栋应急消防逃生通道维修项目。</w:t>
      </w:r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2.2工程地点：重庆市高新区白市驿镇黄金桥2号重庆市农业学校内。</w:t>
      </w:r>
    </w:p>
    <w:p>
      <w:pPr>
        <w:pStyle w:val="3"/>
        <w:keepNext w:val="0"/>
        <w:keepLines w:val="0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560" w:firstLineChars="200"/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2.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3比选范围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：图书楼、实训楼消防防火门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学生寝室2、3、5栋应急消防逃生通道楼梯维修。</w:t>
      </w:r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2.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工期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u w:val="single" w:color="auto"/>
          <w:lang w:val="en-US" w:eastAsia="zh-CN"/>
        </w:rPr>
        <w:t xml:space="preserve"> 25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日历日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。</w:t>
      </w:r>
    </w:p>
    <w:p>
      <w:pPr>
        <w:pStyle w:val="7"/>
        <w:widowControl/>
        <w:spacing w:line="240" w:lineRule="auto"/>
        <w:ind w:firstLine="480"/>
        <w:jc w:val="left"/>
        <w:rPr>
          <w:rFonts w:hint="default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2.5踏勘现场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：潜在竞选人自行踏勘现场。</w:t>
      </w:r>
    </w:p>
    <w:p>
      <w:pPr>
        <w:pStyle w:val="3"/>
        <w:keepNext w:val="0"/>
        <w:keepLines w:val="0"/>
        <w:widowControl w:val="0"/>
        <w:autoSpaceDE w:val="0"/>
        <w:autoSpaceDN w:val="0"/>
        <w:adjustRightInd w:val="0"/>
        <w:snapToGrid w:val="0"/>
        <w:spacing w:before="0" w:after="0" w:line="240" w:lineRule="auto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bookmarkStart w:id="6" w:name="_Toc10422"/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3、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竞选人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资格要求</w:t>
      </w:r>
      <w:bookmarkEnd w:id="5"/>
      <w:bookmarkEnd w:id="6"/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</w:pPr>
      <w:bookmarkStart w:id="7" w:name="_Toc496694153"/>
      <w:bookmarkStart w:id="8" w:name="_Toc496694154"/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 xml:space="preserve">本项目竞选实行资格后审，竞选人应具备以下资格条件： </w:t>
      </w:r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1具有工商行政主管部门颁发有效营业执照的独立法人；</w:t>
      </w:r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2 具有建设行政主管部门颁发的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建筑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装修装饰工程专业承包贰级或建筑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工程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施工总承包叁级及以上资质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，并在人员、设备、资金等方面具有相应的施工能力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；</w:t>
      </w:r>
    </w:p>
    <w:p>
      <w:pPr>
        <w:pStyle w:val="7"/>
        <w:widowControl/>
        <w:spacing w:line="240" w:lineRule="auto"/>
        <w:ind w:firstLine="480"/>
        <w:jc w:val="left"/>
        <w:rPr>
          <w:rFonts w:hint="default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3.3具备建设行政主管部门颁发的安全生产许可证；</w:t>
      </w:r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 xml:space="preserve"> 具有独立承担民事责任的能力；具有良好的商业信誉；近三年内无重大违法经营记录，无严重的违约及重大安全责任事故的声明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；</w:t>
      </w:r>
    </w:p>
    <w:p>
      <w:pPr>
        <w:pStyle w:val="7"/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highlight w:val="none"/>
          <w:u w:val="none"/>
          <w:lang w:val="en-US" w:eastAsia="zh-CN" w:bidi="ar-SA"/>
        </w:rPr>
        <w:t>本项目不接受联合体。</w:t>
      </w:r>
    </w:p>
    <w:p>
      <w:pPr>
        <w:pStyle w:val="3"/>
        <w:keepNext w:val="0"/>
        <w:keepLines w:val="0"/>
        <w:widowControl w:val="0"/>
        <w:autoSpaceDE w:val="0"/>
        <w:autoSpaceDN w:val="0"/>
        <w:adjustRightInd w:val="0"/>
        <w:snapToGrid w:val="0"/>
        <w:spacing w:before="0" w:after="0" w:line="240" w:lineRule="auto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bookmarkStart w:id="9" w:name="_Toc20637"/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4、竞争性比选文件的获取</w:t>
      </w:r>
      <w:bookmarkEnd w:id="7"/>
      <w:bookmarkEnd w:id="9"/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4.1竞选人于2021年5月21日9时至2021年5月27日17时（北京时间，下同），持单位介绍信（原件）、身份证（复印件）到代理机构单位登记报名，购买竞争性比选文件。</w:t>
      </w:r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4.2购买地点：重庆市江北区数码大厦A座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。</w:t>
      </w:r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4.3竞争性比选文件每套售价3</w:t>
      </w:r>
      <w:bookmarkStart w:id="13" w:name="_GoBack"/>
      <w:bookmarkEnd w:id="13"/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00元，售后不退。</w:t>
      </w:r>
    </w:p>
    <w:p>
      <w:pPr>
        <w:pStyle w:val="7"/>
        <w:widowControl/>
        <w:spacing w:line="240" w:lineRule="auto"/>
        <w:ind w:firstLine="480"/>
        <w:jc w:val="left"/>
        <w:rPr>
          <w:rFonts w:hint="eastAsia" w:ascii="宋体" w:hAnsi="宋体" w:eastAsia="Arial Unicode MS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4.4项目公告在重庆市农业学校官网上发布。</w:t>
      </w:r>
    </w:p>
    <w:p>
      <w:pPr>
        <w:pStyle w:val="3"/>
        <w:keepNext w:val="0"/>
        <w:keepLines w:val="0"/>
        <w:widowControl w:val="0"/>
        <w:autoSpaceDE w:val="0"/>
        <w:autoSpaceDN w:val="0"/>
        <w:adjustRightInd w:val="0"/>
        <w:snapToGrid w:val="0"/>
        <w:spacing w:before="0" w:after="0" w:line="240" w:lineRule="auto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bookmarkStart w:id="10" w:name="_Toc13571"/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5、竞选文件的递交</w:t>
      </w:r>
      <w:bookmarkEnd w:id="8"/>
      <w:bookmarkEnd w:id="10"/>
    </w:p>
    <w:p>
      <w:pPr>
        <w:widowControl/>
        <w:tabs>
          <w:tab w:val="left" w:pos="1425"/>
        </w:tabs>
        <w:spacing w:line="240" w:lineRule="auto"/>
        <w:ind w:left="839" w:leftChars="266" w:hanging="280" w:hangingChars="100"/>
        <w:jc w:val="left"/>
        <w:rPr>
          <w:rFonts w:ascii="宋体" w:hAnsi="宋体" w:cs="宋体"/>
          <w:snapToGrid w:val="0"/>
          <w:color w:val="auto"/>
          <w:sz w:val="28"/>
          <w:szCs w:val="28"/>
          <w:highlight w:val="none"/>
          <w:lang w:val="zh-TW"/>
        </w:rPr>
      </w:pP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eastAsia="zh-TW" w:bidi="ar"/>
        </w:rPr>
        <w:t>5.1递交时间：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2021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bidi="ar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5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28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eastAsia="zh-TW" w:bidi="ar"/>
        </w:rPr>
        <w:t>日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15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bidi="ar"/>
        </w:rPr>
        <w:t>时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00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bidi="ar"/>
        </w:rPr>
        <w:t>分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eastAsia="zh-TW" w:bidi="ar"/>
        </w:rPr>
        <w:t>开始受理，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2021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bidi="ar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5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bidi="ar"/>
        </w:rPr>
        <w:t>月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28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eastAsia="zh-TW" w:bidi="ar"/>
        </w:rPr>
        <w:t>日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15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bidi="ar"/>
        </w:rPr>
        <w:t>时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30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bidi="ar"/>
        </w:rPr>
        <w:t>分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eastAsia="zh-TW" w:bidi="ar"/>
        </w:rPr>
        <w:t>停止受理。</w:t>
      </w:r>
    </w:p>
    <w:p>
      <w:pPr>
        <w:widowControl/>
        <w:tabs>
          <w:tab w:val="left" w:pos="1425"/>
        </w:tabs>
        <w:spacing w:line="240" w:lineRule="auto"/>
        <w:ind w:firstLine="56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zh-TW" w:bidi="ar"/>
        </w:rPr>
        <w:t>5.2递交地点：</w:t>
      </w:r>
      <w:bookmarkStart w:id="11" w:name="_Toc496694158"/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  <w:t>重庆市农业学校行政楼二楼会议室。</w:t>
      </w:r>
    </w:p>
    <w:p>
      <w:pPr>
        <w:pStyle w:val="3"/>
        <w:keepNext w:val="0"/>
        <w:keepLines w:val="0"/>
        <w:widowControl w:val="0"/>
        <w:autoSpaceDE w:val="0"/>
        <w:autoSpaceDN w:val="0"/>
        <w:adjustRightInd w:val="0"/>
        <w:snapToGrid w:val="0"/>
        <w:spacing w:before="0" w:after="0" w:line="240" w:lineRule="auto"/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</w:pPr>
      <w:bookmarkStart w:id="12" w:name="_Toc32114"/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、联系方式</w:t>
      </w:r>
      <w:bookmarkEnd w:id="11"/>
      <w:bookmarkEnd w:id="12"/>
    </w:p>
    <w:p>
      <w:pPr>
        <w:pStyle w:val="7"/>
        <w:widowControl/>
        <w:spacing w:line="240" w:lineRule="auto"/>
        <w:ind w:firstLine="560" w:firstLineChars="200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  <w:t>人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：重庆市农业学校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 xml:space="preserve"> </w:t>
      </w:r>
    </w:p>
    <w:p>
      <w:pPr>
        <w:pStyle w:val="7"/>
        <w:widowControl/>
        <w:spacing w:line="240" w:lineRule="auto"/>
        <w:ind w:firstLine="560" w:firstLineChars="200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TW" w:eastAsia="zh-TW"/>
        </w:rPr>
        <w:t xml:space="preserve">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  <w:t>址：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重庆市高新区白市驿镇黄金桥2号</w:t>
      </w:r>
    </w:p>
    <w:p>
      <w:pPr>
        <w:pStyle w:val="7"/>
        <w:widowControl/>
        <w:spacing w:line="240" w:lineRule="auto"/>
        <w:ind w:firstLine="560" w:firstLineChars="200"/>
        <w:rPr>
          <w:rFonts w:hint="default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联系人：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lang w:val="en-US" w:eastAsia="zh-CN"/>
        </w:rPr>
        <w:t>郭老师</w:t>
      </w:r>
    </w:p>
    <w:p>
      <w:pPr>
        <w:pStyle w:val="7"/>
        <w:widowControl/>
        <w:spacing w:line="240" w:lineRule="auto"/>
        <w:ind w:firstLine="560" w:firstLineChars="200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 xml:space="preserve">电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TW" w:eastAsia="zh-TW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  <w:t>话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  <w:t>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lang w:val="en-US" w:eastAsia="zh-CN"/>
        </w:rPr>
        <w:t>023-68033150</w:t>
      </w:r>
    </w:p>
    <w:p>
      <w:pPr>
        <w:pStyle w:val="7"/>
        <w:widowControl/>
        <w:spacing w:line="240" w:lineRule="auto"/>
        <w:ind w:firstLine="560" w:firstLineChars="200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  <w:t>代理机构：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重庆创新工程咨询有限公司</w:t>
      </w:r>
    </w:p>
    <w:p>
      <w:pPr>
        <w:pStyle w:val="7"/>
        <w:widowControl/>
        <w:spacing w:line="240" w:lineRule="auto"/>
        <w:ind w:firstLine="560" w:firstLineChars="200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  <w:t>地  址：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重庆市渝中区嘉陵江滨江路242号</w:t>
      </w:r>
    </w:p>
    <w:p>
      <w:pPr>
        <w:pStyle w:val="7"/>
        <w:widowControl/>
        <w:spacing w:line="240" w:lineRule="auto"/>
        <w:ind w:firstLine="560" w:firstLineChars="200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  <w:t>联系人：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CN"/>
        </w:rPr>
        <w:t>张老师</w:t>
      </w:r>
    </w:p>
    <w:p>
      <w:pPr>
        <w:pStyle w:val="7"/>
        <w:widowControl/>
        <w:spacing w:line="240" w:lineRule="auto"/>
        <w:ind w:firstLine="560" w:firstLineChars="200"/>
        <w:rPr>
          <w:rFonts w:hint="default" w:cs="宋体"/>
          <w:snapToGrid w:val="0"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/>
        </w:rPr>
        <w:t>电  话：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13452488116</w:t>
      </w:r>
    </w:p>
    <w:p>
      <w:pPr>
        <w:pStyle w:val="7"/>
        <w:widowControl/>
        <w:spacing w:line="240" w:lineRule="auto"/>
        <w:ind w:left="5670" w:leftChars="2700"/>
        <w:rPr>
          <w:rFonts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zh-TW" w:eastAsia="zh-TW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5月21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</w:rPr>
        <w:t>日</w:t>
      </w:r>
    </w:p>
    <w:p/>
    <w:sectPr>
      <w:pgSz w:w="11906" w:h="16838"/>
      <w:pgMar w:top="1383" w:right="1406" w:bottom="138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F3CFD"/>
    <w:rsid w:val="090F486A"/>
    <w:rsid w:val="160F3CFD"/>
    <w:rsid w:val="395F7519"/>
    <w:rsid w:val="5E7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uppressLineNumbers w:val="0"/>
      <w:spacing w:before="340" w:beforeAutospacing="0" w:after="330" w:afterAutospacing="0" w:line="576" w:lineRule="auto"/>
      <w:ind w:left="0" w:right="0"/>
      <w:jc w:val="left"/>
      <w:outlineLvl w:val="0"/>
    </w:pPr>
    <w:rPr>
      <w:rFonts w:ascii="Times New Roman" w:hAnsi="Times New Roman"/>
      <w:b/>
      <w:kern w:val="44"/>
      <w:sz w:val="44"/>
      <w:szCs w:val="44"/>
      <w:lang w:eastAsia="en-US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/>
      <w:jc w:val="both"/>
      <w:outlineLvl w:val="2"/>
    </w:pPr>
    <w:rPr>
      <w:rFonts w:ascii="Times New Roman" w:hAnsi="Times New Roman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eastAsia="en-US"/>
    </w:rPr>
  </w:style>
  <w:style w:type="paragraph" w:customStyle="1" w:styleId="7">
    <w:name w:val="正文 A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2021-05-21T02:02:00Z</dcterms:created>
  <dc:creator>张纹银</dc:creator>
  <cp:lastModifiedBy>天啦噜</cp:lastModifiedBy>
  <cp:lastPrinted>2021-05-21T02:35:04Z</cp:lastPrinted>
  <dcterms:modified xsi:type="dcterms:W3CDTF">2021-05-21T03:08:38Z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CFB3A3E8CE98446AAB965A77C4AAF598</vt:lpwstr>
  </property>
</Properties>
</file>